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docx" ContentType="application/vnd.openxmlformats-officedocument.wordprocessingml.document"/>
  <Default Extension="xml" ContentType="application/xml"/>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word/endnotes.xml" ContentType="application/vnd.openxmlformats-officedocument.wordprocessingml.endnotes+xml"/>
  <Override PartName="/word/footer3.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customXml/itemProps3.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customXml/itemProps2.xml" ContentType="application/vnd.openxmlformats-officedocument.customXmlProperties+xml"/>
  <Override PartName="/docProps/core.xml" ContentType="application/vnd.openxmlformats-package.core-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6075C" w:rsidRPr="00973DCD" w:rsidRDefault="0076075C" w:rsidP="00211A39">
      <w:pPr>
        <w:jc w:val="both"/>
      </w:pPr>
      <w:r w:rsidRPr="00973DCD">
        <w:t>MOH OI V</w:t>
      </w:r>
      <w:r w:rsidR="00BA2768" w:rsidRPr="00973DCD">
        <w:t>1</w:t>
      </w:r>
      <w:r w:rsidR="00D41D98" w:rsidRPr="00973DCD">
        <w:t>.</w:t>
      </w:r>
      <w:r w:rsidR="003B1796">
        <w:t>1</w:t>
      </w:r>
      <w:r w:rsidRPr="00973DCD">
        <w:t>/202</w:t>
      </w:r>
      <w:r w:rsidR="003B1796">
        <w:t>4</w:t>
      </w:r>
    </w:p>
    <w:p w:rsidR="0076075C" w:rsidRDefault="0076075C" w:rsidP="00211A39">
      <w:pPr>
        <w:jc w:val="both"/>
      </w:pPr>
    </w:p>
    <w:p w:rsidR="002C4A70" w:rsidRPr="00E9694C" w:rsidRDefault="002C4A70" w:rsidP="00211A39">
      <w:pPr>
        <w:pStyle w:val="Title"/>
        <w:ind w:right="95"/>
        <w:contextualSpacing w:val="0"/>
        <w:jc w:val="both"/>
        <w:rPr>
          <w:rFonts w:cs="Arial"/>
        </w:rPr>
      </w:pPr>
      <w:bookmarkStart w:id="0" w:name="_Hlk89084888"/>
      <w:r w:rsidRPr="00E9694C">
        <w:rPr>
          <w:rFonts w:cs="Arial"/>
        </w:rPr>
        <w:t>OPERATIONS</w:t>
      </w:r>
      <w:r w:rsidR="000A337D">
        <w:rPr>
          <w:rFonts w:cs="Arial"/>
        </w:rPr>
        <w:t xml:space="preserve"> </w:t>
      </w:r>
      <w:r w:rsidRPr="00E9694C">
        <w:rPr>
          <w:rFonts w:cs="Arial"/>
        </w:rPr>
        <w:t xml:space="preserve">INSTRUCTION TO </w:t>
      </w:r>
      <w:r w:rsidR="009D336D" w:rsidRPr="00D24A82">
        <w:rPr>
          <w:rFonts w:cs="Arial"/>
        </w:rPr>
        <w:t>VACCINATION PROVIDERS</w:t>
      </w:r>
      <w:r w:rsidR="000A337D" w:rsidRPr="00D24A82">
        <w:rPr>
          <w:rFonts w:cs="Arial"/>
        </w:rPr>
        <w:t xml:space="preserve"> </w:t>
      </w:r>
      <w:r w:rsidR="007325BD" w:rsidRPr="00D24A82">
        <w:rPr>
          <w:rFonts w:cs="Arial"/>
        </w:rPr>
        <w:t>FOR</w:t>
      </w:r>
      <w:r w:rsidRPr="00D24A82">
        <w:rPr>
          <w:rFonts w:cs="Arial"/>
        </w:rPr>
        <w:t xml:space="preserve"> THE CONDU</w:t>
      </w:r>
      <w:r w:rsidRPr="00E9694C">
        <w:rPr>
          <w:rFonts w:cs="Arial"/>
        </w:rPr>
        <w:t xml:space="preserve">CT OF </w:t>
      </w:r>
      <w:r w:rsidR="00F05A6B" w:rsidRPr="00F05A6B">
        <w:rPr>
          <w:rFonts w:cs="Arial"/>
        </w:rPr>
        <w:t>COVID-19 PFIZER-BIONTECH/COMIRNATY OMICRON XBB.1.5 MONOVALENT VACCINE</w:t>
      </w:r>
      <w:r w:rsidR="007325BD">
        <w:rPr>
          <w:rFonts w:cs="Arial"/>
        </w:rPr>
        <w:t xml:space="preserve"> </w:t>
      </w:r>
      <w:r>
        <w:rPr>
          <w:rFonts w:cs="Arial"/>
        </w:rPr>
        <w:t xml:space="preserve">– mRNA </w:t>
      </w:r>
      <w:r w:rsidRPr="00E9694C">
        <w:rPr>
          <w:rFonts w:cs="Arial"/>
        </w:rPr>
        <w:t xml:space="preserve">VACCINATION </w:t>
      </w:r>
      <w:r>
        <w:rPr>
          <w:rFonts w:cs="Arial"/>
        </w:rPr>
        <w:t xml:space="preserve">FOR </w:t>
      </w:r>
      <w:r w:rsidR="00AA6005">
        <w:rPr>
          <w:rFonts w:cs="Arial"/>
        </w:rPr>
        <w:t>CHILDREN</w:t>
      </w:r>
      <w:r>
        <w:rPr>
          <w:rFonts w:cs="Arial"/>
        </w:rPr>
        <w:t xml:space="preserve"> AGE</w:t>
      </w:r>
      <w:r w:rsidRPr="00EA777F">
        <w:rPr>
          <w:rFonts w:cs="Arial"/>
        </w:rPr>
        <w:t xml:space="preserve">D </w:t>
      </w:r>
      <w:r w:rsidR="00AA6005">
        <w:rPr>
          <w:rFonts w:cs="Arial"/>
        </w:rPr>
        <w:t>5 TO 11</w:t>
      </w:r>
      <w:r w:rsidR="00431A08" w:rsidRPr="00EA777F">
        <w:rPr>
          <w:rFonts w:cs="Arial"/>
        </w:rPr>
        <w:t xml:space="preserve"> YEARS</w:t>
      </w:r>
      <w:r w:rsidR="00431A08">
        <w:rPr>
          <w:rFonts w:cs="Arial"/>
        </w:rPr>
        <w:t xml:space="preserve"> OLD </w:t>
      </w:r>
    </w:p>
    <w:bookmarkEnd w:id="0"/>
    <w:p w:rsidR="00A659E4" w:rsidRPr="00A659E4" w:rsidRDefault="00A659E4" w:rsidP="00211A39">
      <w:pPr>
        <w:jc w:val="both"/>
      </w:pPr>
    </w:p>
    <w:p w:rsidR="00A659E4" w:rsidRDefault="003B1796" w:rsidP="00211A39">
      <w:pPr>
        <w:pStyle w:val="Heading1"/>
        <w:spacing w:before="0"/>
        <w:jc w:val="both"/>
      </w:pPr>
      <w:r>
        <w:t>Documentation</w:t>
      </w:r>
      <w:r w:rsidR="00A659E4">
        <w:t xml:space="preserve"> Record</w:t>
      </w:r>
    </w:p>
    <w:p w:rsidR="00A659E4" w:rsidRDefault="00A659E4" w:rsidP="00211A39">
      <w:pPr>
        <w:jc w:val="both"/>
      </w:pPr>
    </w:p>
    <w:tbl>
      <w:tblPr>
        <w:tblStyle w:val="TableGrid"/>
        <w:tblW w:w="0" w:type="auto"/>
        <w:jc w:val="center"/>
        <w:tblInd w:w="0" w:type="dxa"/>
        <w:tblLayout w:type="fixed"/>
        <w:tblLook w:val="04A0" w:firstRow="1" w:lastRow="0" w:firstColumn="1" w:lastColumn="0" w:noHBand="0" w:noVBand="1"/>
      </w:tblPr>
      <w:tblGrid>
        <w:gridCol w:w="593"/>
        <w:gridCol w:w="962"/>
        <w:gridCol w:w="1500"/>
        <w:gridCol w:w="1760"/>
        <w:gridCol w:w="1840"/>
        <w:gridCol w:w="1260"/>
        <w:gridCol w:w="1101"/>
      </w:tblGrid>
      <w:tr w:rsidR="00A659E4" w:rsidTr="0002007B">
        <w:trPr>
          <w:jc w:val="center"/>
        </w:trPr>
        <w:tc>
          <w:tcPr>
            <w:tcW w:w="593" w:type="dxa"/>
            <w:vMerge w:val="restart"/>
            <w:shd w:val="clear" w:color="auto" w:fill="D9D9D9" w:themeFill="background1" w:themeFillShade="D9"/>
          </w:tcPr>
          <w:p w:rsidR="00A659E4" w:rsidRDefault="00A659E4" w:rsidP="009E70B0">
            <w:pPr>
              <w:jc w:val="both"/>
            </w:pPr>
            <w:r>
              <w:t>S/N</w:t>
            </w:r>
          </w:p>
        </w:tc>
        <w:tc>
          <w:tcPr>
            <w:tcW w:w="962" w:type="dxa"/>
            <w:vMerge w:val="restart"/>
            <w:shd w:val="clear" w:color="auto" w:fill="D9D9D9" w:themeFill="background1" w:themeFillShade="D9"/>
          </w:tcPr>
          <w:p w:rsidR="00A659E4" w:rsidRDefault="00A659E4" w:rsidP="009E70B0">
            <w:pPr>
              <w:jc w:val="both"/>
            </w:pPr>
            <w:r>
              <w:t>Version No.</w:t>
            </w:r>
          </w:p>
        </w:tc>
        <w:tc>
          <w:tcPr>
            <w:tcW w:w="1500" w:type="dxa"/>
            <w:vMerge w:val="restart"/>
            <w:shd w:val="clear" w:color="auto" w:fill="D9D9D9" w:themeFill="background1" w:themeFillShade="D9"/>
          </w:tcPr>
          <w:p w:rsidR="00A659E4" w:rsidRDefault="00A659E4" w:rsidP="009E70B0">
            <w:pPr>
              <w:jc w:val="both"/>
            </w:pPr>
            <w:r>
              <w:t>Date</w:t>
            </w:r>
          </w:p>
        </w:tc>
        <w:tc>
          <w:tcPr>
            <w:tcW w:w="1760" w:type="dxa"/>
            <w:vMerge w:val="restart"/>
            <w:shd w:val="clear" w:color="auto" w:fill="D9D9D9" w:themeFill="background1" w:themeFillShade="D9"/>
          </w:tcPr>
          <w:p w:rsidR="00A659E4" w:rsidRDefault="00A659E4" w:rsidP="009E70B0">
            <w:pPr>
              <w:jc w:val="both"/>
            </w:pPr>
            <w:r>
              <w:t>Description</w:t>
            </w:r>
          </w:p>
        </w:tc>
        <w:tc>
          <w:tcPr>
            <w:tcW w:w="1840" w:type="dxa"/>
            <w:shd w:val="clear" w:color="auto" w:fill="D9D9D9" w:themeFill="background1" w:themeFillShade="D9"/>
          </w:tcPr>
          <w:p w:rsidR="00A659E4" w:rsidRDefault="00A659E4" w:rsidP="009E70B0">
            <w:pPr>
              <w:jc w:val="both"/>
            </w:pPr>
            <w:r>
              <w:t>Author</w:t>
            </w:r>
          </w:p>
        </w:tc>
        <w:tc>
          <w:tcPr>
            <w:tcW w:w="1260" w:type="dxa"/>
            <w:vMerge w:val="restart"/>
            <w:shd w:val="clear" w:color="auto" w:fill="D9D9D9" w:themeFill="background1" w:themeFillShade="D9"/>
          </w:tcPr>
          <w:p w:rsidR="00A659E4" w:rsidRDefault="00A659E4" w:rsidP="009E70B0">
            <w:pPr>
              <w:jc w:val="both"/>
            </w:pPr>
            <w:r>
              <w:t>Approving Authority</w:t>
            </w:r>
          </w:p>
          <w:p w:rsidR="00A659E4" w:rsidRDefault="00A659E4" w:rsidP="009E70B0">
            <w:pPr>
              <w:jc w:val="both"/>
            </w:pPr>
          </w:p>
        </w:tc>
        <w:tc>
          <w:tcPr>
            <w:tcW w:w="1101" w:type="dxa"/>
            <w:vMerge w:val="restart"/>
            <w:shd w:val="clear" w:color="auto" w:fill="D9D9D9" w:themeFill="background1" w:themeFillShade="D9"/>
          </w:tcPr>
          <w:p w:rsidR="00A659E4" w:rsidRDefault="00A659E4" w:rsidP="009E70B0">
            <w:pPr>
              <w:jc w:val="both"/>
            </w:pPr>
            <w:r>
              <w:t>Remarks</w:t>
            </w:r>
          </w:p>
        </w:tc>
      </w:tr>
      <w:tr w:rsidR="00A659E4" w:rsidTr="0002007B">
        <w:trPr>
          <w:jc w:val="center"/>
        </w:trPr>
        <w:tc>
          <w:tcPr>
            <w:tcW w:w="593" w:type="dxa"/>
            <w:vMerge/>
            <w:shd w:val="clear" w:color="auto" w:fill="D9D9D9" w:themeFill="background1" w:themeFillShade="D9"/>
          </w:tcPr>
          <w:p w:rsidR="00A659E4" w:rsidRDefault="00A659E4" w:rsidP="009E70B0">
            <w:pPr>
              <w:jc w:val="both"/>
            </w:pPr>
          </w:p>
        </w:tc>
        <w:tc>
          <w:tcPr>
            <w:tcW w:w="962" w:type="dxa"/>
            <w:vMerge/>
            <w:shd w:val="clear" w:color="auto" w:fill="D9D9D9" w:themeFill="background1" w:themeFillShade="D9"/>
          </w:tcPr>
          <w:p w:rsidR="00A659E4" w:rsidRDefault="00A659E4" w:rsidP="009E70B0">
            <w:pPr>
              <w:jc w:val="both"/>
            </w:pPr>
          </w:p>
        </w:tc>
        <w:tc>
          <w:tcPr>
            <w:tcW w:w="1500" w:type="dxa"/>
            <w:vMerge/>
            <w:shd w:val="clear" w:color="auto" w:fill="D9D9D9" w:themeFill="background1" w:themeFillShade="D9"/>
          </w:tcPr>
          <w:p w:rsidR="00A659E4" w:rsidRDefault="00A659E4" w:rsidP="009E70B0">
            <w:pPr>
              <w:jc w:val="both"/>
            </w:pPr>
          </w:p>
        </w:tc>
        <w:tc>
          <w:tcPr>
            <w:tcW w:w="1760" w:type="dxa"/>
            <w:vMerge/>
            <w:shd w:val="clear" w:color="auto" w:fill="D9D9D9" w:themeFill="background1" w:themeFillShade="D9"/>
          </w:tcPr>
          <w:p w:rsidR="00A659E4" w:rsidRDefault="00A659E4" w:rsidP="009E70B0">
            <w:pPr>
              <w:jc w:val="both"/>
            </w:pPr>
          </w:p>
        </w:tc>
        <w:tc>
          <w:tcPr>
            <w:tcW w:w="1840" w:type="dxa"/>
            <w:shd w:val="clear" w:color="auto" w:fill="D9D9D9" w:themeFill="background1" w:themeFillShade="D9"/>
          </w:tcPr>
          <w:p w:rsidR="00A659E4" w:rsidRDefault="00A659E4" w:rsidP="009E70B0">
            <w:pPr>
              <w:jc w:val="both"/>
            </w:pPr>
            <w:r>
              <w:t>Name, Designation</w:t>
            </w:r>
          </w:p>
        </w:tc>
        <w:tc>
          <w:tcPr>
            <w:tcW w:w="1260" w:type="dxa"/>
            <w:vMerge/>
            <w:shd w:val="clear" w:color="auto" w:fill="D9D9D9" w:themeFill="background1" w:themeFillShade="D9"/>
          </w:tcPr>
          <w:p w:rsidR="00A659E4" w:rsidRDefault="00A659E4" w:rsidP="009E70B0">
            <w:pPr>
              <w:jc w:val="both"/>
            </w:pPr>
          </w:p>
        </w:tc>
        <w:tc>
          <w:tcPr>
            <w:tcW w:w="1101" w:type="dxa"/>
            <w:vMerge/>
            <w:shd w:val="clear" w:color="auto" w:fill="D9D9D9" w:themeFill="background1" w:themeFillShade="D9"/>
          </w:tcPr>
          <w:p w:rsidR="00A659E4" w:rsidRDefault="00A659E4" w:rsidP="009E70B0">
            <w:pPr>
              <w:jc w:val="both"/>
            </w:pPr>
          </w:p>
        </w:tc>
      </w:tr>
      <w:tr w:rsidR="00A659E4" w:rsidTr="0002007B">
        <w:trPr>
          <w:jc w:val="center"/>
        </w:trPr>
        <w:tc>
          <w:tcPr>
            <w:tcW w:w="593" w:type="dxa"/>
          </w:tcPr>
          <w:p w:rsidR="00A659E4" w:rsidRDefault="00A659E4" w:rsidP="009E70B0">
            <w:pPr>
              <w:jc w:val="both"/>
            </w:pPr>
            <w:r>
              <w:t>1</w:t>
            </w:r>
          </w:p>
        </w:tc>
        <w:tc>
          <w:tcPr>
            <w:tcW w:w="962" w:type="dxa"/>
          </w:tcPr>
          <w:p w:rsidR="00A659E4" w:rsidRDefault="00A659E4" w:rsidP="009E70B0">
            <w:pPr>
              <w:jc w:val="both"/>
            </w:pPr>
            <w:r>
              <w:t>1.0</w:t>
            </w:r>
          </w:p>
        </w:tc>
        <w:tc>
          <w:tcPr>
            <w:tcW w:w="1500" w:type="dxa"/>
          </w:tcPr>
          <w:p w:rsidR="00A659E4" w:rsidRPr="00CD16AE" w:rsidRDefault="004C13B9" w:rsidP="009E70B0">
            <w:pPr>
              <w:jc w:val="both"/>
              <w:rPr>
                <w:spacing w:val="-8"/>
              </w:rPr>
            </w:pPr>
            <w:r>
              <w:rPr>
                <w:spacing w:val="-8"/>
              </w:rPr>
              <w:t>24 Oct</w:t>
            </w:r>
            <w:r w:rsidR="00431A08" w:rsidRPr="001C0853">
              <w:rPr>
                <w:spacing w:val="-8"/>
              </w:rPr>
              <w:t xml:space="preserve"> 202</w:t>
            </w:r>
            <w:r w:rsidR="00F05A6B">
              <w:rPr>
                <w:spacing w:val="-8"/>
              </w:rPr>
              <w:t>3</w:t>
            </w:r>
          </w:p>
        </w:tc>
        <w:tc>
          <w:tcPr>
            <w:tcW w:w="1760" w:type="dxa"/>
          </w:tcPr>
          <w:p w:rsidR="00A659E4" w:rsidRPr="000A337D" w:rsidRDefault="00D23E39" w:rsidP="009E70B0">
            <w:pPr>
              <w:jc w:val="both"/>
            </w:pPr>
            <w:r>
              <w:t xml:space="preserve">First </w:t>
            </w:r>
            <w:r w:rsidR="005F28E1">
              <w:t>V</w:t>
            </w:r>
            <w:r w:rsidR="00A659E4" w:rsidRPr="000A337D">
              <w:t>ersion</w:t>
            </w:r>
          </w:p>
        </w:tc>
        <w:tc>
          <w:tcPr>
            <w:tcW w:w="1840" w:type="dxa"/>
          </w:tcPr>
          <w:p w:rsidR="00A659E4" w:rsidRDefault="00431A08" w:rsidP="009E70B0">
            <w:pPr>
              <w:jc w:val="both"/>
            </w:pPr>
            <w:r>
              <w:t>Dom Choong</w:t>
            </w:r>
          </w:p>
          <w:p w:rsidR="00A659E4" w:rsidRDefault="00A659E4" w:rsidP="009E70B0">
            <w:pPr>
              <w:jc w:val="both"/>
            </w:pPr>
            <w:r>
              <w:t>M,</w:t>
            </w:r>
            <w:r w:rsidR="00431A08">
              <w:t xml:space="preserve"> OPB</w:t>
            </w:r>
          </w:p>
        </w:tc>
        <w:tc>
          <w:tcPr>
            <w:tcW w:w="1260" w:type="dxa"/>
          </w:tcPr>
          <w:p w:rsidR="00A659E4" w:rsidRDefault="00F11F31" w:rsidP="00211A39">
            <w:pPr>
              <w:jc w:val="both"/>
            </w:pPr>
            <w:r>
              <w:t>D(P&amp;P)</w:t>
            </w:r>
          </w:p>
        </w:tc>
        <w:tc>
          <w:tcPr>
            <w:tcW w:w="1101" w:type="dxa"/>
          </w:tcPr>
          <w:p w:rsidR="00A659E4" w:rsidRDefault="00A659E4" w:rsidP="009E70B0">
            <w:pPr>
              <w:jc w:val="both"/>
            </w:pPr>
          </w:p>
        </w:tc>
      </w:tr>
      <w:tr w:rsidR="00333FFD" w:rsidTr="0002007B">
        <w:trPr>
          <w:jc w:val="center"/>
        </w:trPr>
        <w:tc>
          <w:tcPr>
            <w:tcW w:w="593" w:type="dxa"/>
          </w:tcPr>
          <w:p w:rsidR="00333FFD" w:rsidRDefault="001D4EDD" w:rsidP="009E70B0">
            <w:pPr>
              <w:jc w:val="both"/>
            </w:pPr>
            <w:r>
              <w:t>2</w:t>
            </w:r>
          </w:p>
        </w:tc>
        <w:tc>
          <w:tcPr>
            <w:tcW w:w="962" w:type="dxa"/>
          </w:tcPr>
          <w:p w:rsidR="00333FFD" w:rsidRDefault="001D4EDD" w:rsidP="009E70B0">
            <w:pPr>
              <w:jc w:val="both"/>
            </w:pPr>
            <w:r>
              <w:t>1.1</w:t>
            </w:r>
          </w:p>
        </w:tc>
        <w:tc>
          <w:tcPr>
            <w:tcW w:w="1500" w:type="dxa"/>
          </w:tcPr>
          <w:p w:rsidR="00333FFD" w:rsidRDefault="00D24A82" w:rsidP="009E70B0">
            <w:pPr>
              <w:jc w:val="both"/>
            </w:pPr>
            <w:r>
              <w:t>27</w:t>
            </w:r>
            <w:r w:rsidR="001D4EDD">
              <w:t xml:space="preserve"> Feb 2024</w:t>
            </w:r>
          </w:p>
        </w:tc>
        <w:tc>
          <w:tcPr>
            <w:tcW w:w="1760" w:type="dxa"/>
          </w:tcPr>
          <w:p w:rsidR="00527C92" w:rsidRDefault="00527C92" w:rsidP="00527C92">
            <w:pPr>
              <w:jc w:val="both"/>
            </w:pPr>
            <w:r>
              <w:t>Para 6</w:t>
            </w:r>
            <w:r w:rsidR="00D24A82">
              <w:t>.1 to 6.6</w:t>
            </w:r>
            <w:r>
              <w:t>:</w:t>
            </w:r>
          </w:p>
          <w:p w:rsidR="0002007B" w:rsidRDefault="0002007B" w:rsidP="0002007B">
            <w:pPr>
              <w:jc w:val="both"/>
              <w:rPr>
                <w:rFonts w:cs="Arial"/>
              </w:rPr>
            </w:pPr>
            <w:r>
              <w:rPr>
                <w:rFonts w:cs="Arial"/>
              </w:rPr>
              <w:t xml:space="preserve">Updated Clinical Guidance on two-dose baseline, step-down measures for strenuous activity, vaccine co-administration, observation, Anaphylaxis </w:t>
            </w:r>
            <w:proofErr w:type="gramStart"/>
            <w:r>
              <w:rPr>
                <w:rFonts w:cs="Arial"/>
              </w:rPr>
              <w:t>management</w:t>
            </w:r>
            <w:proofErr w:type="gramEnd"/>
            <w:r>
              <w:rPr>
                <w:rFonts w:cs="Arial"/>
              </w:rPr>
              <w:t xml:space="preserve"> </w:t>
            </w:r>
          </w:p>
          <w:p w:rsidR="0002007B" w:rsidRDefault="0002007B" w:rsidP="0002007B">
            <w:pPr>
              <w:jc w:val="both"/>
            </w:pPr>
          </w:p>
          <w:p w:rsidR="0002007B" w:rsidRDefault="0002007B" w:rsidP="0002007B">
            <w:pPr>
              <w:jc w:val="both"/>
            </w:pPr>
            <w:r>
              <w:t>Para 6.1</w:t>
            </w:r>
            <w:r w:rsidR="00106D0D">
              <w:t>4</w:t>
            </w:r>
            <w:r>
              <w:t>:</w:t>
            </w:r>
          </w:p>
          <w:p w:rsidR="0002007B" w:rsidRDefault="0002007B" w:rsidP="0002007B">
            <w:pPr>
              <w:jc w:val="both"/>
            </w:pPr>
            <w:r>
              <w:t>Updated Guidance Document</w:t>
            </w:r>
          </w:p>
          <w:p w:rsidR="00527C92" w:rsidRDefault="00527C92" w:rsidP="00527C92">
            <w:pPr>
              <w:jc w:val="both"/>
            </w:pPr>
          </w:p>
          <w:p w:rsidR="00676520" w:rsidRDefault="00676520" w:rsidP="00527C92">
            <w:pPr>
              <w:jc w:val="both"/>
            </w:pPr>
            <w:r>
              <w:t>Para 6.1</w:t>
            </w:r>
            <w:r w:rsidR="00106D0D">
              <w:t>7</w:t>
            </w:r>
            <w:r>
              <w:t>:</w:t>
            </w:r>
          </w:p>
          <w:p w:rsidR="00676520" w:rsidRDefault="00676520" w:rsidP="00527C92">
            <w:pPr>
              <w:jc w:val="both"/>
            </w:pPr>
            <w:r>
              <w:t xml:space="preserve">Deleted Management of Anaphylaxis to align with prevailing licensing </w:t>
            </w:r>
            <w:proofErr w:type="gramStart"/>
            <w:r>
              <w:t>requirements</w:t>
            </w:r>
            <w:proofErr w:type="gramEnd"/>
          </w:p>
          <w:p w:rsidR="00676520" w:rsidRDefault="00676520" w:rsidP="00527C92">
            <w:pPr>
              <w:jc w:val="both"/>
            </w:pPr>
          </w:p>
          <w:p w:rsidR="00527C92" w:rsidRDefault="00527C92" w:rsidP="00527C92">
            <w:pPr>
              <w:jc w:val="both"/>
            </w:pPr>
            <w:r>
              <w:t>Para 7.6 b:</w:t>
            </w:r>
          </w:p>
          <w:p w:rsidR="00527C92" w:rsidRDefault="006F53B8" w:rsidP="00527C92">
            <w:pPr>
              <w:jc w:val="both"/>
            </w:pPr>
            <w:bookmarkStart w:id="1" w:name="_Hlk159930736"/>
            <w:r>
              <w:t xml:space="preserve">Amended </w:t>
            </w:r>
            <w:r w:rsidR="00527C92">
              <w:t>14 days interval between vaccines</w:t>
            </w:r>
            <w:r>
              <w:t xml:space="preserve"> to can be administered </w:t>
            </w:r>
            <w:proofErr w:type="gramStart"/>
            <w:r>
              <w:t>concurrently</w:t>
            </w:r>
            <w:proofErr w:type="gramEnd"/>
          </w:p>
          <w:bookmarkEnd w:id="1"/>
          <w:p w:rsidR="0002007B" w:rsidRDefault="0002007B" w:rsidP="00527C92">
            <w:pPr>
              <w:jc w:val="both"/>
            </w:pPr>
            <w:r>
              <w:t>Para 7.8:</w:t>
            </w:r>
          </w:p>
          <w:p w:rsidR="0002007B" w:rsidRDefault="0002007B" w:rsidP="00527C92">
            <w:pPr>
              <w:jc w:val="both"/>
            </w:pPr>
            <w:r>
              <w:t>Updated attachments of documents</w:t>
            </w:r>
          </w:p>
          <w:p w:rsidR="0002007B" w:rsidRDefault="0002007B" w:rsidP="00527C92">
            <w:pPr>
              <w:jc w:val="both"/>
            </w:pPr>
          </w:p>
          <w:p w:rsidR="00527C92" w:rsidRDefault="00527C92" w:rsidP="00527C92">
            <w:pPr>
              <w:jc w:val="both"/>
            </w:pPr>
            <w:r>
              <w:t>Para 7.1</w:t>
            </w:r>
            <w:r w:rsidR="00653521">
              <w:t>2</w:t>
            </w:r>
            <w:r>
              <w:t xml:space="preserve"> to 7.1</w:t>
            </w:r>
            <w:r w:rsidR="00653521">
              <w:t>6</w:t>
            </w:r>
            <w:r>
              <w:t>:</w:t>
            </w:r>
          </w:p>
          <w:p w:rsidR="00333FFD" w:rsidRDefault="00527C92" w:rsidP="00527C92">
            <w:pPr>
              <w:jc w:val="both"/>
            </w:pPr>
            <w:r>
              <w:t>Deleted Incident Reporting</w:t>
            </w:r>
          </w:p>
        </w:tc>
        <w:tc>
          <w:tcPr>
            <w:tcW w:w="1840" w:type="dxa"/>
          </w:tcPr>
          <w:p w:rsidR="001D4EDD" w:rsidRDefault="001D4EDD" w:rsidP="009E70B0">
            <w:pPr>
              <w:jc w:val="both"/>
            </w:pPr>
            <w:r>
              <w:t xml:space="preserve">Tay Lee Hwa </w:t>
            </w:r>
          </w:p>
          <w:p w:rsidR="00333FFD" w:rsidRDefault="001D4EDD" w:rsidP="009E70B0">
            <w:pPr>
              <w:jc w:val="both"/>
            </w:pPr>
            <w:r>
              <w:t>M, VOTG</w:t>
            </w:r>
          </w:p>
        </w:tc>
        <w:tc>
          <w:tcPr>
            <w:tcW w:w="1260" w:type="dxa"/>
          </w:tcPr>
          <w:p w:rsidR="00333FFD" w:rsidRDefault="001D4EDD" w:rsidP="009E70B0">
            <w:pPr>
              <w:jc w:val="both"/>
            </w:pPr>
            <w:r>
              <w:t>D(VOTG)</w:t>
            </w:r>
          </w:p>
        </w:tc>
        <w:tc>
          <w:tcPr>
            <w:tcW w:w="1101" w:type="dxa"/>
          </w:tcPr>
          <w:p w:rsidR="00333FFD" w:rsidRDefault="00333FFD" w:rsidP="009E70B0">
            <w:pPr>
              <w:jc w:val="both"/>
            </w:pPr>
          </w:p>
        </w:tc>
      </w:tr>
    </w:tbl>
    <w:p w:rsidR="00627249" w:rsidRDefault="00627249" w:rsidP="009E70B0">
      <w:pPr>
        <w:jc w:val="both"/>
        <w:rPr>
          <w:rFonts w:eastAsia="DengXian"/>
        </w:rPr>
      </w:pPr>
    </w:p>
    <w:p w:rsidR="00627249" w:rsidRDefault="00627249" w:rsidP="00211A39">
      <w:pPr>
        <w:jc w:val="both"/>
        <w:rPr>
          <w:rFonts w:eastAsia="DengXian" w:cs="Arial"/>
          <w:b/>
          <w:color w:val="002060"/>
          <w:sz w:val="24"/>
          <w:szCs w:val="32"/>
        </w:rPr>
      </w:pPr>
      <w:r>
        <w:rPr>
          <w:rFonts w:eastAsia="DengXian" w:cs="Arial"/>
        </w:rPr>
        <w:br w:type="page"/>
      </w:r>
    </w:p>
    <w:p w:rsidR="0035498D" w:rsidRPr="00B3065A" w:rsidRDefault="0044252B" w:rsidP="00211A39">
      <w:pPr>
        <w:pStyle w:val="Heading1"/>
        <w:spacing w:before="0"/>
        <w:jc w:val="both"/>
        <w:rPr>
          <w:rFonts w:eastAsia="DengXian" w:cs="Arial"/>
          <w:sz w:val="22"/>
          <w:szCs w:val="22"/>
        </w:rPr>
      </w:pPr>
      <w:r w:rsidRPr="00B3065A">
        <w:rPr>
          <w:rFonts w:eastAsia="DengXian" w:cs="Arial"/>
          <w:sz w:val="22"/>
          <w:szCs w:val="22"/>
        </w:rPr>
        <w:t>Purpose</w:t>
      </w:r>
    </w:p>
    <w:p w:rsidR="008941EB" w:rsidRPr="00B3065A" w:rsidRDefault="008941EB" w:rsidP="00211A39">
      <w:pPr>
        <w:jc w:val="both"/>
        <w:rPr>
          <w:rFonts w:eastAsia="DengXian" w:cs="Arial"/>
        </w:rPr>
      </w:pPr>
    </w:p>
    <w:p w:rsidR="00431A08" w:rsidRPr="00B3065A" w:rsidRDefault="00431A08" w:rsidP="00211A39">
      <w:pPr>
        <w:pStyle w:val="ListParagraph"/>
        <w:numPr>
          <w:ilvl w:val="0"/>
          <w:numId w:val="1"/>
        </w:numPr>
        <w:ind w:left="540" w:hanging="540"/>
        <w:contextualSpacing w:val="0"/>
        <w:jc w:val="both"/>
        <w:rPr>
          <w:rFonts w:cs="Arial"/>
        </w:rPr>
      </w:pPr>
      <w:r w:rsidRPr="00B3065A">
        <w:rPr>
          <w:rFonts w:cs="Arial"/>
        </w:rPr>
        <w:t xml:space="preserve">This Operations Instruction seeks to inform </w:t>
      </w:r>
      <w:r w:rsidR="007325BD" w:rsidRPr="00D24A82">
        <w:rPr>
          <w:rFonts w:cs="Arial"/>
        </w:rPr>
        <w:t>Vaccination Providers</w:t>
      </w:r>
      <w:r w:rsidR="0026151B" w:rsidRPr="00D24A82">
        <w:rPr>
          <w:rFonts w:cs="Arial"/>
        </w:rPr>
        <w:t xml:space="preserve"> on</w:t>
      </w:r>
      <w:r w:rsidRPr="00D24A82">
        <w:rPr>
          <w:rFonts w:cs="Arial"/>
        </w:rPr>
        <w:t xml:space="preserve"> the instructions to operationalise the </w:t>
      </w:r>
      <w:r w:rsidR="00F05A6B" w:rsidRPr="00D24A82">
        <w:rPr>
          <w:rFonts w:cs="Arial"/>
        </w:rPr>
        <w:t>COVID-19 Pfizer-BioNTech/Comirnaty XBB</w:t>
      </w:r>
      <w:r w:rsidR="00F05A6B">
        <w:rPr>
          <w:rFonts w:cs="Arial"/>
        </w:rPr>
        <w:t xml:space="preserve">.1.5 </w:t>
      </w:r>
      <w:r w:rsidR="004C13B9">
        <w:rPr>
          <w:rFonts w:cs="Arial"/>
        </w:rPr>
        <w:t>m</w:t>
      </w:r>
      <w:r w:rsidR="00442DC4">
        <w:rPr>
          <w:rFonts w:cs="Arial"/>
        </w:rPr>
        <w:t xml:space="preserve">onovalent </w:t>
      </w:r>
      <w:r w:rsidR="00442DC4" w:rsidRPr="00B3065A">
        <w:rPr>
          <w:rFonts w:cs="Arial"/>
        </w:rPr>
        <w:t>vaccination</w:t>
      </w:r>
      <w:r w:rsidRPr="00B3065A">
        <w:rPr>
          <w:rFonts w:cs="Arial"/>
        </w:rPr>
        <w:t xml:space="preserve"> for individuals </w:t>
      </w:r>
      <w:r w:rsidR="00442DC4" w:rsidRPr="001A2333">
        <w:rPr>
          <w:rFonts w:cs="Arial"/>
        </w:rPr>
        <w:t xml:space="preserve">aged </w:t>
      </w:r>
      <w:r w:rsidR="00442DC4">
        <w:rPr>
          <w:rFonts w:cs="Arial"/>
        </w:rPr>
        <w:t>5 to 11 years</w:t>
      </w:r>
      <w:r w:rsidR="00AB0A8B">
        <w:rPr>
          <w:rFonts w:cs="Arial"/>
        </w:rPr>
        <w:t xml:space="preserve"> old</w:t>
      </w:r>
      <w:r w:rsidR="00442DC4">
        <w:rPr>
          <w:rFonts w:cs="Arial"/>
        </w:rPr>
        <w:t>.</w:t>
      </w:r>
    </w:p>
    <w:p w:rsidR="007F4351" w:rsidRPr="00B3065A" w:rsidRDefault="007F4351" w:rsidP="00211A39">
      <w:pPr>
        <w:jc w:val="both"/>
      </w:pPr>
    </w:p>
    <w:p w:rsidR="002E7BF7" w:rsidRPr="00B3065A" w:rsidRDefault="000257AA" w:rsidP="00211A39">
      <w:pPr>
        <w:pStyle w:val="Heading1"/>
        <w:spacing w:before="0"/>
        <w:jc w:val="both"/>
        <w:rPr>
          <w:sz w:val="22"/>
          <w:szCs w:val="22"/>
        </w:rPr>
      </w:pPr>
      <w:r w:rsidRPr="00B3065A">
        <w:rPr>
          <w:sz w:val="22"/>
          <w:szCs w:val="22"/>
        </w:rPr>
        <w:t>Principal Considerations</w:t>
      </w:r>
      <w:r w:rsidR="009419BA" w:rsidRPr="00B3065A">
        <w:rPr>
          <w:sz w:val="22"/>
          <w:szCs w:val="22"/>
        </w:rPr>
        <w:t xml:space="preserve"> </w:t>
      </w:r>
    </w:p>
    <w:p w:rsidR="000257AA" w:rsidRPr="00B3065A" w:rsidRDefault="000257AA" w:rsidP="00211A39">
      <w:pPr>
        <w:jc w:val="both"/>
        <w:rPr>
          <w:rFonts w:cs="Arial"/>
        </w:rPr>
      </w:pPr>
    </w:p>
    <w:p w:rsidR="00B00581" w:rsidRPr="00B3065A" w:rsidRDefault="00B00581" w:rsidP="00211A39">
      <w:pPr>
        <w:pStyle w:val="ListParagraph"/>
        <w:numPr>
          <w:ilvl w:val="0"/>
          <w:numId w:val="1"/>
        </w:numPr>
        <w:ind w:left="540" w:hanging="540"/>
        <w:contextualSpacing w:val="0"/>
        <w:jc w:val="both"/>
        <w:rPr>
          <w:rFonts w:cs="Arial"/>
        </w:rPr>
      </w:pPr>
      <w:r w:rsidRPr="00B3065A">
        <w:rPr>
          <w:rFonts w:cs="Arial"/>
        </w:rPr>
        <w:t>The principal considerations are as follows</w:t>
      </w:r>
      <w:r w:rsidR="00CD16AE">
        <w:rPr>
          <w:rFonts w:cs="Arial"/>
        </w:rPr>
        <w:t>:</w:t>
      </w:r>
    </w:p>
    <w:p w:rsidR="008E2DC2" w:rsidRPr="00B3065A" w:rsidRDefault="008E2DC2" w:rsidP="00211A39">
      <w:pPr>
        <w:pStyle w:val="ListParagraph"/>
        <w:ind w:left="567"/>
        <w:contextualSpacing w:val="0"/>
        <w:jc w:val="both"/>
        <w:rPr>
          <w:rFonts w:cs="Arial"/>
        </w:rPr>
      </w:pPr>
    </w:p>
    <w:p w:rsidR="00362EC7" w:rsidRPr="00AA2484" w:rsidRDefault="00606212" w:rsidP="009E70B0">
      <w:pPr>
        <w:pStyle w:val="ListParagraph"/>
        <w:numPr>
          <w:ilvl w:val="0"/>
          <w:numId w:val="7"/>
        </w:numPr>
        <w:ind w:left="900"/>
        <w:contextualSpacing w:val="0"/>
        <w:jc w:val="both"/>
        <w:rPr>
          <w:rFonts w:cs="Arial"/>
          <w:b/>
          <w:bCs/>
        </w:rPr>
      </w:pPr>
      <w:r w:rsidRPr="00AA2484">
        <w:rPr>
          <w:rFonts w:cs="Arial"/>
          <w:b/>
          <w:bCs/>
        </w:rPr>
        <w:t>Client</w:t>
      </w:r>
      <w:r w:rsidR="006066EE" w:rsidRPr="00AA2484">
        <w:rPr>
          <w:rFonts w:cs="Arial"/>
          <w:b/>
          <w:bCs/>
        </w:rPr>
        <w:t xml:space="preserve"> </w:t>
      </w:r>
      <w:r w:rsidR="00B3065A" w:rsidRPr="00AA2484">
        <w:rPr>
          <w:rFonts w:cs="Arial"/>
          <w:b/>
          <w:bCs/>
        </w:rPr>
        <w:t>S</w:t>
      </w:r>
      <w:r w:rsidR="006066EE" w:rsidRPr="00AA2484">
        <w:rPr>
          <w:rFonts w:cs="Arial"/>
          <w:b/>
          <w:bCs/>
        </w:rPr>
        <w:t>afety</w:t>
      </w:r>
    </w:p>
    <w:p w:rsidR="00911DDF" w:rsidRPr="00B3065A" w:rsidRDefault="00911DDF" w:rsidP="00211A39">
      <w:pPr>
        <w:jc w:val="both"/>
        <w:rPr>
          <w:rFonts w:cs="Arial"/>
        </w:rPr>
      </w:pPr>
    </w:p>
    <w:p w:rsidR="00442DC4" w:rsidRPr="00442DC4" w:rsidRDefault="00442DC4" w:rsidP="00442DC4">
      <w:pPr>
        <w:pStyle w:val="ListParagraph"/>
        <w:numPr>
          <w:ilvl w:val="0"/>
          <w:numId w:val="3"/>
        </w:numPr>
        <w:ind w:left="1440" w:hanging="180"/>
        <w:contextualSpacing w:val="0"/>
        <w:jc w:val="both"/>
        <w:rPr>
          <w:rFonts w:cs="Arial"/>
        </w:rPr>
      </w:pPr>
      <w:r w:rsidRPr="00442DC4">
        <w:rPr>
          <w:rFonts w:cs="Arial"/>
        </w:rPr>
        <w:t xml:space="preserve">Minimum age of eligible clients to receive the mRNA COVID-19 vaccination should be calculated based on the date of birth, not just the birth year. The authorised minimum age specified for each vaccine type can be found on MOH Guidance for Vaccination Providers. </w:t>
      </w:r>
    </w:p>
    <w:p w:rsidR="00B5282C" w:rsidRPr="00B3065A" w:rsidRDefault="00B5282C" w:rsidP="00442DC4">
      <w:pPr>
        <w:pStyle w:val="ListParagraph"/>
        <w:ind w:left="1440"/>
        <w:contextualSpacing w:val="0"/>
        <w:jc w:val="both"/>
        <w:rPr>
          <w:rFonts w:cs="Arial"/>
        </w:rPr>
      </w:pPr>
    </w:p>
    <w:p w:rsidR="00442DC4" w:rsidRPr="00D24A82" w:rsidRDefault="00894537" w:rsidP="00442DC4">
      <w:pPr>
        <w:pStyle w:val="ListParagraph"/>
        <w:numPr>
          <w:ilvl w:val="0"/>
          <w:numId w:val="3"/>
        </w:numPr>
        <w:ind w:left="1440" w:hanging="180"/>
        <w:contextualSpacing w:val="0"/>
        <w:jc w:val="both"/>
        <w:rPr>
          <w:rFonts w:cs="Arial"/>
        </w:rPr>
      </w:pPr>
      <w:r>
        <w:rPr>
          <w:rFonts w:cs="Arial"/>
        </w:rPr>
        <w:t>For clients who are receiving the vaccines for the first time, the second dose</w:t>
      </w:r>
      <w:r w:rsidRPr="00B3065A">
        <w:rPr>
          <w:rFonts w:cs="Arial"/>
        </w:rPr>
        <w:t xml:space="preserve"> </w:t>
      </w:r>
      <w:r>
        <w:rPr>
          <w:rFonts w:cs="Arial"/>
        </w:rPr>
        <w:t xml:space="preserve">could be offered to </w:t>
      </w:r>
      <w:r w:rsidR="00F976D8">
        <w:rPr>
          <w:rFonts w:cs="Arial"/>
        </w:rPr>
        <w:t xml:space="preserve">be </w:t>
      </w:r>
      <w:r>
        <w:rPr>
          <w:rFonts w:cs="Arial"/>
        </w:rPr>
        <w:t>receive</w:t>
      </w:r>
      <w:r w:rsidR="00F976D8">
        <w:rPr>
          <w:rFonts w:cs="Arial"/>
        </w:rPr>
        <w:t>d</w:t>
      </w:r>
      <w:r>
        <w:rPr>
          <w:rFonts w:cs="Arial"/>
        </w:rPr>
        <w:t xml:space="preserve"> </w:t>
      </w:r>
      <w:r w:rsidRPr="00B3065A">
        <w:rPr>
          <w:rFonts w:cs="Arial"/>
        </w:rPr>
        <w:t>at the same venue as the first dose, and the vaccine should be from the same manufacturer as the first dose.</w:t>
      </w:r>
      <w:r>
        <w:rPr>
          <w:rFonts w:cs="Arial"/>
        </w:rPr>
        <w:t xml:space="preserve"> </w:t>
      </w:r>
      <w:r w:rsidR="00442DC4" w:rsidRPr="00D24A82">
        <w:rPr>
          <w:rFonts w:cs="Arial"/>
        </w:rPr>
        <w:t xml:space="preserve">Vaccination Providers should pay attention to the interval between the doses. </w:t>
      </w:r>
    </w:p>
    <w:p w:rsidR="00A22A15" w:rsidRPr="00B3065A" w:rsidRDefault="00A22A15" w:rsidP="00211A39">
      <w:pPr>
        <w:pStyle w:val="ListParagraph"/>
        <w:ind w:left="360"/>
        <w:contextualSpacing w:val="0"/>
        <w:jc w:val="both"/>
        <w:rPr>
          <w:rFonts w:cs="Arial"/>
        </w:rPr>
      </w:pPr>
    </w:p>
    <w:p w:rsidR="009419BA" w:rsidRPr="00AA2484" w:rsidRDefault="009419BA" w:rsidP="009E70B0">
      <w:pPr>
        <w:pStyle w:val="ListParagraph"/>
        <w:numPr>
          <w:ilvl w:val="0"/>
          <w:numId w:val="7"/>
        </w:numPr>
        <w:ind w:left="900"/>
        <w:contextualSpacing w:val="0"/>
        <w:jc w:val="both"/>
        <w:rPr>
          <w:rFonts w:cs="Arial"/>
          <w:b/>
          <w:bCs/>
        </w:rPr>
      </w:pPr>
      <w:bookmarkStart w:id="2" w:name="_Hlk115796624"/>
      <w:r w:rsidRPr="00AA2484">
        <w:rPr>
          <w:rFonts w:cs="Arial"/>
          <w:b/>
          <w:bCs/>
        </w:rPr>
        <w:t xml:space="preserve">Minimise </w:t>
      </w:r>
      <w:r w:rsidR="00B3065A" w:rsidRPr="00AA2484">
        <w:rPr>
          <w:rFonts w:cs="Arial"/>
          <w:b/>
          <w:bCs/>
        </w:rPr>
        <w:t>Vaccine Supplies Wastage</w:t>
      </w:r>
    </w:p>
    <w:bookmarkEnd w:id="2"/>
    <w:p w:rsidR="009419BA" w:rsidRPr="00B3065A" w:rsidRDefault="009419BA" w:rsidP="00211A39">
      <w:pPr>
        <w:pStyle w:val="ListParagraph"/>
        <w:ind w:left="360"/>
        <w:contextualSpacing w:val="0"/>
        <w:jc w:val="both"/>
        <w:rPr>
          <w:rFonts w:cs="Arial"/>
          <w:b/>
          <w:bCs/>
        </w:rPr>
      </w:pPr>
    </w:p>
    <w:p w:rsidR="009419BA" w:rsidRPr="00D24A82" w:rsidRDefault="009419BA" w:rsidP="00211A39">
      <w:pPr>
        <w:pStyle w:val="ListParagraph"/>
        <w:numPr>
          <w:ilvl w:val="0"/>
          <w:numId w:val="5"/>
        </w:numPr>
        <w:ind w:left="1440" w:hanging="180"/>
        <w:contextualSpacing w:val="0"/>
        <w:jc w:val="both"/>
        <w:rPr>
          <w:rFonts w:cs="Arial"/>
        </w:rPr>
      </w:pPr>
      <w:r w:rsidRPr="00B3065A">
        <w:rPr>
          <w:rFonts w:cs="Arial"/>
        </w:rPr>
        <w:t xml:space="preserve">Due to the short shelf-life of the </w:t>
      </w:r>
      <w:r w:rsidR="009E1A02" w:rsidRPr="00B3065A">
        <w:rPr>
          <w:rFonts w:cs="Arial"/>
        </w:rPr>
        <w:t>thawed vaccines,</w:t>
      </w:r>
      <w:r w:rsidRPr="00B3065A">
        <w:rPr>
          <w:rFonts w:cs="Arial"/>
        </w:rPr>
        <w:t xml:space="preserve"> </w:t>
      </w:r>
      <w:r w:rsidRPr="00D24A82">
        <w:rPr>
          <w:rFonts w:cs="Arial"/>
        </w:rPr>
        <w:t xml:space="preserve">Vaccination Providers  </w:t>
      </w:r>
      <w:r w:rsidRPr="00D24A82" w:rsidDel="00DF623F">
        <w:rPr>
          <w:rFonts w:cs="Arial"/>
        </w:rPr>
        <w:t xml:space="preserve"> </w:t>
      </w:r>
      <w:r w:rsidRPr="00D24A82">
        <w:rPr>
          <w:rFonts w:cs="Arial"/>
        </w:rPr>
        <w:t>should avoid holding on to excess vaccine supplies and should trigger re-supply only when necessary.</w:t>
      </w:r>
    </w:p>
    <w:p w:rsidR="009419BA" w:rsidRPr="00D24A82" w:rsidRDefault="009419BA" w:rsidP="00211A39">
      <w:pPr>
        <w:pStyle w:val="ListParagraph"/>
        <w:ind w:left="1440"/>
        <w:contextualSpacing w:val="0"/>
        <w:jc w:val="both"/>
        <w:rPr>
          <w:rFonts w:cs="Arial"/>
        </w:rPr>
      </w:pPr>
    </w:p>
    <w:p w:rsidR="00D30A89" w:rsidRPr="00B3065A" w:rsidRDefault="009419BA" w:rsidP="00211A39">
      <w:pPr>
        <w:pStyle w:val="ListParagraph"/>
        <w:numPr>
          <w:ilvl w:val="0"/>
          <w:numId w:val="5"/>
        </w:numPr>
        <w:ind w:left="1440" w:hanging="180"/>
        <w:contextualSpacing w:val="0"/>
        <w:jc w:val="both"/>
        <w:rPr>
          <w:rFonts w:cs="Arial"/>
        </w:rPr>
      </w:pPr>
      <w:r w:rsidRPr="00D24A82">
        <w:rPr>
          <w:rFonts w:cs="Arial"/>
        </w:rPr>
        <w:t>Due to the short shelf-life of the vaccines after opening of vials, Vaccination Providers</w:t>
      </w:r>
      <w:r w:rsidR="006869DA" w:rsidRPr="00D24A82">
        <w:rPr>
          <w:rFonts w:cs="Arial"/>
        </w:rPr>
        <w:t xml:space="preserve"> </w:t>
      </w:r>
      <w:r w:rsidRPr="00D24A82" w:rsidDel="00DF623F">
        <w:rPr>
          <w:rFonts w:cs="Arial"/>
        </w:rPr>
        <w:t>should</w:t>
      </w:r>
      <w:r w:rsidRPr="00D24A82">
        <w:rPr>
          <w:rFonts w:cs="Arial"/>
        </w:rPr>
        <w:t xml:space="preserve"> plan and schedule the </w:t>
      </w:r>
      <w:r w:rsidR="00C21BD6" w:rsidRPr="00D24A82">
        <w:rPr>
          <w:rFonts w:cs="Arial"/>
        </w:rPr>
        <w:t>client’s</w:t>
      </w:r>
      <w:r w:rsidRPr="00D24A82">
        <w:rPr>
          <w:rFonts w:cs="Arial"/>
        </w:rPr>
        <w:t xml:space="preserve"> vaccination</w:t>
      </w:r>
      <w:r w:rsidRPr="00B3065A">
        <w:rPr>
          <w:rFonts w:cs="Arial"/>
        </w:rPr>
        <w:t xml:space="preserve"> in batches to reduce vaccine wastage. </w:t>
      </w:r>
    </w:p>
    <w:p w:rsidR="00AC15D5" w:rsidRPr="00B3065A" w:rsidRDefault="00AC15D5" w:rsidP="00211A39">
      <w:pPr>
        <w:jc w:val="both"/>
      </w:pPr>
    </w:p>
    <w:p w:rsidR="006D22AA" w:rsidRPr="00B3065A" w:rsidRDefault="008011CD" w:rsidP="00211A39">
      <w:pPr>
        <w:pStyle w:val="Heading1"/>
        <w:spacing w:before="0"/>
        <w:jc w:val="both"/>
        <w:rPr>
          <w:sz w:val="22"/>
          <w:szCs w:val="22"/>
        </w:rPr>
      </w:pPr>
      <w:r w:rsidRPr="00B3065A">
        <w:rPr>
          <w:sz w:val="22"/>
          <w:szCs w:val="22"/>
        </w:rPr>
        <w:t>Concept of Operations</w:t>
      </w:r>
      <w:r w:rsidR="00A83166" w:rsidRPr="00B3065A">
        <w:rPr>
          <w:sz w:val="22"/>
          <w:szCs w:val="22"/>
        </w:rPr>
        <w:t xml:space="preserve"> </w:t>
      </w:r>
    </w:p>
    <w:p w:rsidR="008011CD" w:rsidRPr="00B3065A" w:rsidRDefault="008011CD" w:rsidP="00211A39">
      <w:pPr>
        <w:jc w:val="both"/>
        <w:rPr>
          <w:rFonts w:cs="Arial"/>
        </w:rPr>
      </w:pPr>
    </w:p>
    <w:p w:rsidR="005C3926" w:rsidRPr="00B3065A" w:rsidRDefault="005C3926" w:rsidP="00211A39">
      <w:pPr>
        <w:pStyle w:val="ListParagraph"/>
        <w:numPr>
          <w:ilvl w:val="0"/>
          <w:numId w:val="4"/>
        </w:numPr>
        <w:contextualSpacing w:val="0"/>
        <w:jc w:val="both"/>
        <w:rPr>
          <w:rFonts w:cs="Arial"/>
          <w:vanish/>
          <w:color w:val="FF0000"/>
        </w:rPr>
      </w:pPr>
    </w:p>
    <w:p w:rsidR="00F80E7D" w:rsidRDefault="008C2474" w:rsidP="00BA05A9">
      <w:pPr>
        <w:pStyle w:val="ListParagraph"/>
        <w:numPr>
          <w:ilvl w:val="0"/>
          <w:numId w:val="1"/>
        </w:numPr>
        <w:ind w:left="540" w:hanging="540"/>
        <w:contextualSpacing w:val="0"/>
        <w:jc w:val="both"/>
        <w:rPr>
          <w:rFonts w:cs="Arial"/>
        </w:rPr>
      </w:pPr>
      <w:r>
        <w:rPr>
          <w:rFonts w:cs="Arial"/>
        </w:rPr>
        <w:t>V</w:t>
      </w:r>
      <w:r w:rsidR="00367BFB" w:rsidRPr="00F346DD">
        <w:rPr>
          <w:rFonts w:cs="Arial"/>
        </w:rPr>
        <w:t>accin</w:t>
      </w:r>
      <w:r w:rsidR="00A910DA">
        <w:rPr>
          <w:rFonts w:cs="Arial"/>
        </w:rPr>
        <w:t>es</w:t>
      </w:r>
      <w:r w:rsidR="00367BFB" w:rsidRPr="00F346DD">
        <w:rPr>
          <w:rFonts w:cs="Arial"/>
        </w:rPr>
        <w:t xml:space="preserve"> will be administered </w:t>
      </w:r>
      <w:r w:rsidR="00E21FB5">
        <w:rPr>
          <w:rFonts w:cs="Arial"/>
        </w:rPr>
        <w:t xml:space="preserve">to individuals aged 5 to 11 years </w:t>
      </w:r>
      <w:r w:rsidR="00367BFB" w:rsidRPr="00F346DD">
        <w:rPr>
          <w:rFonts w:cs="Arial"/>
        </w:rPr>
        <w:t xml:space="preserve">at </w:t>
      </w:r>
      <w:r w:rsidR="00D30A89" w:rsidRPr="00F346DD">
        <w:rPr>
          <w:rFonts w:cs="Arial"/>
        </w:rPr>
        <w:t xml:space="preserve">designated </w:t>
      </w:r>
      <w:r w:rsidR="00367BFB" w:rsidRPr="00F346DD">
        <w:rPr>
          <w:rFonts w:cs="Arial"/>
        </w:rPr>
        <w:t>vaccination sites</w:t>
      </w:r>
      <w:r w:rsidR="00E21FB5">
        <w:rPr>
          <w:rFonts w:cs="Arial"/>
        </w:rPr>
        <w:t xml:space="preserve"> offering </w:t>
      </w:r>
      <w:proofErr w:type="spellStart"/>
      <w:r w:rsidR="00E21FB5">
        <w:rPr>
          <w:rFonts w:cs="Arial"/>
        </w:rPr>
        <w:t>Paeds</w:t>
      </w:r>
      <w:proofErr w:type="spellEnd"/>
      <w:r w:rsidR="00E21FB5">
        <w:rPr>
          <w:rFonts w:cs="Arial"/>
        </w:rPr>
        <w:t xml:space="preserve"> vaccination</w:t>
      </w:r>
      <w:r w:rsidR="00440420">
        <w:rPr>
          <w:rFonts w:cs="Arial"/>
        </w:rPr>
        <w:t xml:space="preserve">, such as, </w:t>
      </w:r>
      <w:r w:rsidR="00F346DD" w:rsidRPr="00F346DD">
        <w:rPr>
          <w:rFonts w:cs="Arial"/>
        </w:rPr>
        <w:t>Joint</w:t>
      </w:r>
      <w:r w:rsidR="00F346DD" w:rsidRPr="002216F3">
        <w:rPr>
          <w:rFonts w:cs="Arial"/>
        </w:rPr>
        <w:t xml:space="preserve"> Testing and Vaccination Centres (JTVCs), Public Health Preparedness Clinics (PHPCs), Polyclinics</w:t>
      </w:r>
      <w:r w:rsidR="00440420">
        <w:rPr>
          <w:rFonts w:cs="Arial"/>
        </w:rPr>
        <w:t xml:space="preserve">, </w:t>
      </w:r>
      <w:r w:rsidR="00440420" w:rsidRPr="00CD1358">
        <w:rPr>
          <w:rFonts w:cs="Arial"/>
        </w:rPr>
        <w:t>etc</w:t>
      </w:r>
      <w:r w:rsidR="00BA35C6">
        <w:rPr>
          <w:rFonts w:cs="Arial"/>
        </w:rPr>
        <w:t>.</w:t>
      </w:r>
    </w:p>
    <w:p w:rsidR="00967F05" w:rsidRDefault="00967F05" w:rsidP="00F35BCE">
      <w:pPr>
        <w:pStyle w:val="ListParagraph"/>
        <w:ind w:left="540"/>
        <w:contextualSpacing w:val="0"/>
        <w:jc w:val="both"/>
        <w:rPr>
          <w:rFonts w:cs="Arial"/>
        </w:rPr>
      </w:pPr>
    </w:p>
    <w:p w:rsidR="00B6275A" w:rsidRDefault="00B6275A" w:rsidP="00B6275A">
      <w:pPr>
        <w:pStyle w:val="ListParagraph"/>
        <w:numPr>
          <w:ilvl w:val="0"/>
          <w:numId w:val="1"/>
        </w:numPr>
        <w:ind w:left="540" w:hanging="540"/>
        <w:contextualSpacing w:val="0"/>
        <w:jc w:val="both"/>
        <w:rPr>
          <w:rFonts w:cs="Arial"/>
        </w:rPr>
      </w:pPr>
      <w:bookmarkStart w:id="3" w:name="_Hlk149083818"/>
      <w:r>
        <w:rPr>
          <w:rFonts w:cs="Arial"/>
          <w:u w:val="single"/>
        </w:rPr>
        <w:t>Leverage on MVTs And HVTs</w:t>
      </w:r>
    </w:p>
    <w:p w:rsidR="00B6275A" w:rsidRDefault="00B6275A" w:rsidP="00B6275A">
      <w:pPr>
        <w:pStyle w:val="ListParagraph"/>
        <w:ind w:left="540"/>
        <w:contextualSpacing w:val="0"/>
        <w:jc w:val="both"/>
        <w:rPr>
          <w:rFonts w:cs="Arial"/>
        </w:rPr>
      </w:pPr>
    </w:p>
    <w:p w:rsidR="00B6275A" w:rsidRDefault="00B6275A" w:rsidP="00B6275A">
      <w:pPr>
        <w:pStyle w:val="ListParagraph"/>
        <w:ind w:left="540"/>
        <w:contextualSpacing w:val="0"/>
        <w:jc w:val="both"/>
        <w:rPr>
          <w:rFonts w:cs="Arial"/>
          <w:lang w:val="en-US"/>
        </w:rPr>
      </w:pPr>
      <w:r w:rsidRPr="00557635">
        <w:rPr>
          <w:rFonts w:cs="Arial"/>
          <w:bCs/>
        </w:rPr>
        <w:t>Mobile Vaccination Team</w:t>
      </w:r>
      <w:r>
        <w:rPr>
          <w:rFonts w:cs="Arial"/>
          <w:bCs/>
        </w:rPr>
        <w:t>s</w:t>
      </w:r>
      <w:r w:rsidRPr="00557635">
        <w:rPr>
          <w:rFonts w:cs="Arial"/>
          <w:bCs/>
        </w:rPr>
        <w:t xml:space="preserve"> (MVTs)</w:t>
      </w:r>
      <w:r>
        <w:rPr>
          <w:rFonts w:cs="Arial"/>
          <w:bCs/>
        </w:rPr>
        <w:t xml:space="preserve"> and Home Vaccination Teams (HVTs) will</w:t>
      </w:r>
      <w:r w:rsidRPr="00557635">
        <w:rPr>
          <w:rFonts w:cs="Arial"/>
          <w:bCs/>
        </w:rPr>
        <w:t xml:space="preserve"> be deployed to conduct onsite vaccinations at </w:t>
      </w:r>
      <w:r>
        <w:rPr>
          <w:rFonts w:cs="Arial"/>
          <w:lang w:val="en-US"/>
        </w:rPr>
        <w:t xml:space="preserve">Special Education (SPED) schools and </w:t>
      </w:r>
      <w:r>
        <w:t xml:space="preserve">Early Intervention Programme for Infants and Children </w:t>
      </w:r>
      <w:r>
        <w:rPr>
          <w:rFonts w:cs="Arial"/>
          <w:lang w:val="en-US"/>
        </w:rPr>
        <w:t xml:space="preserve">(EIPIC) </w:t>
      </w:r>
      <w:proofErr w:type="spellStart"/>
      <w:r>
        <w:rPr>
          <w:rFonts w:cs="Arial"/>
          <w:lang w:val="en-US"/>
        </w:rPr>
        <w:t>Centres</w:t>
      </w:r>
      <w:proofErr w:type="spellEnd"/>
      <w:r>
        <w:rPr>
          <w:rFonts w:cs="Arial"/>
          <w:lang w:val="en-US"/>
        </w:rPr>
        <w:t xml:space="preserve"> for individuals aged 5 to 11 years. </w:t>
      </w:r>
    </w:p>
    <w:p w:rsidR="00B6275A" w:rsidRDefault="00B6275A" w:rsidP="00B6275A">
      <w:pPr>
        <w:pStyle w:val="ListParagraph"/>
        <w:ind w:left="540"/>
        <w:contextualSpacing w:val="0"/>
        <w:jc w:val="both"/>
        <w:rPr>
          <w:rFonts w:cs="Arial"/>
          <w:lang w:val="en-US"/>
        </w:rPr>
      </w:pPr>
    </w:p>
    <w:p w:rsidR="00B6275A" w:rsidRPr="00BA05A9" w:rsidRDefault="00B6275A" w:rsidP="00B6275A">
      <w:pPr>
        <w:pStyle w:val="ListParagraph"/>
        <w:ind w:left="540"/>
        <w:contextualSpacing w:val="0"/>
        <w:jc w:val="both"/>
        <w:rPr>
          <w:rFonts w:cs="Arial"/>
        </w:rPr>
      </w:pPr>
      <w:r>
        <w:rPr>
          <w:rFonts w:cs="Arial"/>
          <w:lang w:val="en-US"/>
        </w:rPr>
        <w:t xml:space="preserve">Home Vaccination Teams (HVTs) may be deployed to conduct vaccinations at individual’s </w:t>
      </w:r>
      <w:r w:rsidR="00D24A82">
        <w:rPr>
          <w:rFonts w:cs="Arial"/>
          <w:lang w:val="en-US"/>
        </w:rPr>
        <w:t xml:space="preserve">residential </w:t>
      </w:r>
      <w:r>
        <w:rPr>
          <w:rFonts w:cs="Arial"/>
          <w:lang w:val="en-US"/>
        </w:rPr>
        <w:t>home upon request (if child has mobility issues).</w:t>
      </w:r>
    </w:p>
    <w:p w:rsidR="00B6275A" w:rsidRPr="00F35BCE" w:rsidRDefault="00B6275A" w:rsidP="00F35BCE">
      <w:pPr>
        <w:pStyle w:val="ListParagraph"/>
        <w:ind w:left="540"/>
        <w:contextualSpacing w:val="0"/>
        <w:jc w:val="both"/>
        <w:rPr>
          <w:rFonts w:cs="Arial"/>
        </w:rPr>
      </w:pPr>
    </w:p>
    <w:bookmarkEnd w:id="3"/>
    <w:p w:rsidR="005436AF" w:rsidRPr="00B3065A" w:rsidRDefault="005436AF" w:rsidP="00211A39">
      <w:pPr>
        <w:pStyle w:val="Heading1"/>
        <w:spacing w:before="0"/>
        <w:jc w:val="both"/>
        <w:rPr>
          <w:sz w:val="22"/>
          <w:szCs w:val="22"/>
        </w:rPr>
      </w:pPr>
      <w:r w:rsidRPr="00B3065A">
        <w:rPr>
          <w:sz w:val="22"/>
          <w:szCs w:val="22"/>
        </w:rPr>
        <w:t xml:space="preserve">Operating </w:t>
      </w:r>
      <w:r w:rsidR="002E7BF7" w:rsidRPr="00B3065A">
        <w:rPr>
          <w:sz w:val="22"/>
          <w:szCs w:val="22"/>
        </w:rPr>
        <w:t>Parameters</w:t>
      </w:r>
    </w:p>
    <w:p w:rsidR="00336FFC" w:rsidRPr="00B3065A" w:rsidRDefault="00336FFC" w:rsidP="00211A39">
      <w:pPr>
        <w:jc w:val="both"/>
      </w:pPr>
    </w:p>
    <w:p w:rsidR="00F364A5" w:rsidRPr="00186C08" w:rsidRDefault="00216F12" w:rsidP="00211A39">
      <w:pPr>
        <w:pStyle w:val="ListParagraph"/>
        <w:numPr>
          <w:ilvl w:val="0"/>
          <w:numId w:val="1"/>
        </w:numPr>
        <w:ind w:left="540" w:hanging="540"/>
        <w:contextualSpacing w:val="0"/>
        <w:jc w:val="both"/>
      </w:pPr>
      <w:r w:rsidRPr="00D24A82">
        <w:rPr>
          <w:rFonts w:cs="Arial"/>
        </w:rPr>
        <w:t xml:space="preserve">Vaccination </w:t>
      </w:r>
      <w:r w:rsidR="00D06FEA" w:rsidRPr="00D24A82">
        <w:rPr>
          <w:rFonts w:cs="Arial"/>
        </w:rPr>
        <w:t>Providers</w:t>
      </w:r>
      <w:r w:rsidRPr="00B3065A">
        <w:rPr>
          <w:rFonts w:cs="Arial"/>
        </w:rPr>
        <w:t xml:space="preserve"> will continue to achieve throughput as per MOH’s latest instructions.</w:t>
      </w:r>
    </w:p>
    <w:p w:rsidR="00186C08" w:rsidRPr="00186C08" w:rsidRDefault="00186C08" w:rsidP="00211A39">
      <w:pPr>
        <w:jc w:val="both"/>
      </w:pPr>
    </w:p>
    <w:p w:rsidR="00AB0A8B" w:rsidRDefault="00AB0A8B">
      <w:pPr>
        <w:spacing w:after="160" w:line="259" w:lineRule="auto"/>
        <w:rPr>
          <w:rFonts w:eastAsiaTheme="majorEastAsia" w:cstheme="majorBidi"/>
          <w:b/>
          <w:color w:val="002060"/>
        </w:rPr>
      </w:pPr>
      <w:r>
        <w:br w:type="page"/>
      </w:r>
    </w:p>
    <w:p w:rsidR="00F35BCE" w:rsidRDefault="00B42CF1" w:rsidP="00F35BCE">
      <w:pPr>
        <w:pStyle w:val="Heading1"/>
        <w:spacing w:before="0"/>
        <w:jc w:val="both"/>
        <w:rPr>
          <w:sz w:val="22"/>
          <w:szCs w:val="22"/>
        </w:rPr>
      </w:pPr>
      <w:r w:rsidRPr="00D24A82">
        <w:rPr>
          <w:sz w:val="22"/>
          <w:szCs w:val="22"/>
          <w:highlight w:val="yellow"/>
        </w:rPr>
        <w:t xml:space="preserve">Updates to </w:t>
      </w:r>
      <w:r w:rsidR="00F35BCE" w:rsidRPr="00D24A82">
        <w:rPr>
          <w:sz w:val="22"/>
          <w:szCs w:val="22"/>
          <w:highlight w:val="yellow"/>
        </w:rPr>
        <w:t>Clinical Guidance</w:t>
      </w:r>
    </w:p>
    <w:p w:rsidR="00F35BCE" w:rsidRDefault="00F35BCE" w:rsidP="00F35BCE">
      <w:pPr>
        <w:pStyle w:val="ListParagraph"/>
        <w:numPr>
          <w:ilvl w:val="0"/>
          <w:numId w:val="25"/>
        </w:numPr>
        <w:jc w:val="both"/>
        <w:rPr>
          <w:rFonts w:cs="Arial"/>
          <w:vanish/>
        </w:rPr>
      </w:pPr>
    </w:p>
    <w:p w:rsidR="00F35BCE" w:rsidRDefault="00F35BCE" w:rsidP="00F35BCE">
      <w:pPr>
        <w:jc w:val="both"/>
        <w:rPr>
          <w:rFonts w:cs="Arial"/>
        </w:rPr>
      </w:pPr>
    </w:p>
    <w:p w:rsidR="00012C84" w:rsidRPr="00012C84" w:rsidRDefault="00012C84" w:rsidP="00012C84">
      <w:pPr>
        <w:pStyle w:val="ListParagraph"/>
        <w:numPr>
          <w:ilvl w:val="0"/>
          <w:numId w:val="26"/>
        </w:numPr>
        <w:jc w:val="both"/>
        <w:rPr>
          <w:rFonts w:cs="Arial"/>
          <w:vanish/>
        </w:rPr>
      </w:pPr>
      <w:bookmarkStart w:id="4" w:name="_Hlk115944495"/>
    </w:p>
    <w:p w:rsidR="00A07FA4" w:rsidRPr="004F7008" w:rsidRDefault="00A07FA4" w:rsidP="00A07FA4">
      <w:pPr>
        <w:pStyle w:val="ListParagraph"/>
        <w:numPr>
          <w:ilvl w:val="1"/>
          <w:numId w:val="26"/>
        </w:numPr>
        <w:rPr>
          <w:rFonts w:cs="Arial"/>
        </w:rPr>
      </w:pPr>
      <w:r w:rsidRPr="004F7008">
        <w:rPr>
          <w:rFonts w:cs="Arial"/>
        </w:rPr>
        <w:t xml:space="preserve">Individuals who have not been vaccinated against COVID-19 </w:t>
      </w:r>
      <w:r>
        <w:rPr>
          <w:rFonts w:cs="Arial"/>
        </w:rPr>
        <w:t xml:space="preserve">with effect from 1 March 2024 </w:t>
      </w:r>
      <w:r w:rsidRPr="004F7008">
        <w:rPr>
          <w:rFonts w:cs="Arial"/>
        </w:rPr>
        <w:t xml:space="preserve">are </w:t>
      </w:r>
      <w:r>
        <w:rPr>
          <w:rFonts w:cs="Arial"/>
        </w:rPr>
        <w:t xml:space="preserve">now </w:t>
      </w:r>
      <w:r w:rsidRPr="004F7008">
        <w:rPr>
          <w:rFonts w:cs="Arial"/>
        </w:rPr>
        <w:t>recommended to receive two initial vaccine doses.</w:t>
      </w:r>
      <w:r>
        <w:rPr>
          <w:rFonts w:cs="Arial"/>
        </w:rPr>
        <w:t xml:space="preserve"> </w:t>
      </w:r>
    </w:p>
    <w:p w:rsidR="00F35BCE" w:rsidRDefault="00F35BCE" w:rsidP="00F35BCE">
      <w:pPr>
        <w:jc w:val="both"/>
        <w:rPr>
          <w:rFonts w:cs="Arial"/>
        </w:rPr>
      </w:pPr>
    </w:p>
    <w:tbl>
      <w:tblPr>
        <w:tblStyle w:val="TableGrid"/>
        <w:tblW w:w="8460" w:type="dxa"/>
        <w:tblInd w:w="607" w:type="dxa"/>
        <w:tblLook w:val="04A0" w:firstRow="1" w:lastRow="0" w:firstColumn="1" w:lastColumn="0" w:noHBand="0" w:noVBand="1"/>
      </w:tblPr>
      <w:tblGrid>
        <w:gridCol w:w="2507"/>
        <w:gridCol w:w="1741"/>
        <w:gridCol w:w="4212"/>
      </w:tblGrid>
      <w:tr w:rsidR="00F35BCE" w:rsidTr="00F35BCE">
        <w:tc>
          <w:tcPr>
            <w:tcW w:w="2507" w:type="dxa"/>
            <w:tcBorders>
              <w:top w:val="single" w:sz="4" w:space="0" w:color="auto"/>
              <w:left w:val="single" w:sz="4" w:space="0" w:color="auto"/>
              <w:bottom w:val="single" w:sz="4" w:space="0" w:color="auto"/>
              <w:right w:val="single" w:sz="4" w:space="0" w:color="auto"/>
            </w:tcBorders>
            <w:hideMark/>
          </w:tcPr>
          <w:p w:rsidR="00F35BCE" w:rsidRDefault="00F35BCE">
            <w:pPr>
              <w:jc w:val="both"/>
              <w:rPr>
                <w:rFonts w:cs="Arial"/>
                <w:b/>
                <w:bCs/>
              </w:rPr>
            </w:pPr>
            <w:r>
              <w:rPr>
                <w:rFonts w:cs="Arial"/>
                <w:b/>
                <w:bCs/>
              </w:rPr>
              <w:t>Vaccine</w:t>
            </w:r>
          </w:p>
        </w:tc>
        <w:tc>
          <w:tcPr>
            <w:tcW w:w="1741" w:type="dxa"/>
            <w:tcBorders>
              <w:top w:val="single" w:sz="4" w:space="0" w:color="auto"/>
              <w:left w:val="single" w:sz="4" w:space="0" w:color="auto"/>
              <w:bottom w:val="single" w:sz="4" w:space="0" w:color="auto"/>
              <w:right w:val="single" w:sz="4" w:space="0" w:color="auto"/>
            </w:tcBorders>
            <w:hideMark/>
          </w:tcPr>
          <w:p w:rsidR="00F35BCE" w:rsidRDefault="00F35BCE">
            <w:pPr>
              <w:jc w:val="both"/>
              <w:rPr>
                <w:rFonts w:cs="Arial"/>
                <w:b/>
                <w:bCs/>
              </w:rPr>
            </w:pPr>
            <w:r>
              <w:rPr>
                <w:rFonts w:cs="Arial"/>
                <w:b/>
                <w:bCs/>
              </w:rPr>
              <w:t>Eligible Age</w:t>
            </w:r>
          </w:p>
        </w:tc>
        <w:tc>
          <w:tcPr>
            <w:tcW w:w="4212" w:type="dxa"/>
            <w:tcBorders>
              <w:top w:val="single" w:sz="4" w:space="0" w:color="auto"/>
              <w:left w:val="single" w:sz="4" w:space="0" w:color="auto"/>
              <w:bottom w:val="single" w:sz="4" w:space="0" w:color="auto"/>
              <w:right w:val="single" w:sz="4" w:space="0" w:color="auto"/>
            </w:tcBorders>
            <w:hideMark/>
          </w:tcPr>
          <w:p w:rsidR="00F35BCE" w:rsidRDefault="00F35BCE">
            <w:pPr>
              <w:jc w:val="both"/>
              <w:rPr>
                <w:rFonts w:cs="Arial"/>
                <w:b/>
                <w:bCs/>
              </w:rPr>
            </w:pPr>
            <w:r>
              <w:rPr>
                <w:rFonts w:cs="Arial"/>
                <w:b/>
                <w:bCs/>
              </w:rPr>
              <w:t>Dose(s) and Recommended Intervals</w:t>
            </w:r>
          </w:p>
        </w:tc>
      </w:tr>
      <w:tr w:rsidR="00F35BCE" w:rsidTr="00F35BCE">
        <w:tc>
          <w:tcPr>
            <w:tcW w:w="2507" w:type="dxa"/>
            <w:vMerge w:val="restart"/>
            <w:tcBorders>
              <w:top w:val="single" w:sz="4" w:space="0" w:color="auto"/>
              <w:left w:val="single" w:sz="4" w:space="0" w:color="auto"/>
              <w:bottom w:val="single" w:sz="4" w:space="0" w:color="auto"/>
              <w:right w:val="single" w:sz="4" w:space="0" w:color="auto"/>
            </w:tcBorders>
            <w:hideMark/>
          </w:tcPr>
          <w:p w:rsidR="00F35BCE" w:rsidRDefault="00F35BCE">
            <w:pPr>
              <w:jc w:val="both"/>
              <w:rPr>
                <w:rFonts w:cs="Arial"/>
              </w:rPr>
            </w:pPr>
            <w:r>
              <w:rPr>
                <w:rFonts w:cs="Arial"/>
              </w:rPr>
              <w:t>Pfizer-BioNTech/Comirnaty XBB.1.5 monovalent COVID-19 Vaccine</w:t>
            </w:r>
            <w:r>
              <w:rPr>
                <w:rStyle w:val="FootnoteReference"/>
                <w:rFonts w:cs="Arial"/>
              </w:rPr>
              <w:footnoteReference w:id="1"/>
            </w:r>
          </w:p>
        </w:tc>
        <w:tc>
          <w:tcPr>
            <w:tcW w:w="1741" w:type="dxa"/>
            <w:vMerge w:val="restart"/>
            <w:tcBorders>
              <w:top w:val="single" w:sz="4" w:space="0" w:color="auto"/>
              <w:left w:val="single" w:sz="4" w:space="0" w:color="auto"/>
              <w:bottom w:val="single" w:sz="4" w:space="0" w:color="auto"/>
              <w:right w:val="single" w:sz="4" w:space="0" w:color="auto"/>
            </w:tcBorders>
            <w:hideMark/>
          </w:tcPr>
          <w:p w:rsidR="00F35BCE" w:rsidRDefault="00F35BCE">
            <w:pPr>
              <w:jc w:val="both"/>
              <w:rPr>
                <w:rFonts w:cs="Arial"/>
              </w:rPr>
            </w:pPr>
            <w:r>
              <w:rPr>
                <w:rFonts w:cs="Arial"/>
              </w:rPr>
              <w:t xml:space="preserve">5 to 11 years </w:t>
            </w:r>
          </w:p>
        </w:tc>
        <w:tc>
          <w:tcPr>
            <w:tcW w:w="4212" w:type="dxa"/>
            <w:tcBorders>
              <w:top w:val="single" w:sz="4" w:space="0" w:color="auto"/>
              <w:left w:val="single" w:sz="4" w:space="0" w:color="auto"/>
              <w:bottom w:val="single" w:sz="4" w:space="0" w:color="auto"/>
              <w:right w:val="single" w:sz="4" w:space="0" w:color="auto"/>
            </w:tcBorders>
            <w:hideMark/>
          </w:tcPr>
          <w:p w:rsidR="00F35BCE" w:rsidRDefault="00F35BCE">
            <w:pPr>
              <w:jc w:val="both"/>
              <w:rPr>
                <w:rFonts w:cs="Arial"/>
              </w:rPr>
            </w:pPr>
            <w:r>
              <w:rPr>
                <w:rFonts w:cs="Arial"/>
              </w:rPr>
              <w:t xml:space="preserve">Primary series vaccination </w:t>
            </w:r>
          </w:p>
          <w:p w:rsidR="00F35BCE" w:rsidRDefault="00F35BCE" w:rsidP="00F35BCE">
            <w:pPr>
              <w:pStyle w:val="ListParagraph"/>
              <w:numPr>
                <w:ilvl w:val="0"/>
                <w:numId w:val="27"/>
              </w:numPr>
              <w:jc w:val="both"/>
              <w:rPr>
                <w:rFonts w:cs="Arial"/>
              </w:rPr>
            </w:pPr>
            <w:r>
              <w:rPr>
                <w:rFonts w:cs="Arial"/>
              </w:rPr>
              <w:t>2 doses of 10mcg (0.3mL)</w:t>
            </w:r>
          </w:p>
          <w:p w:rsidR="00F35BCE" w:rsidRDefault="00F35BCE" w:rsidP="00F35BCE">
            <w:pPr>
              <w:pStyle w:val="ListParagraph"/>
              <w:numPr>
                <w:ilvl w:val="0"/>
                <w:numId w:val="27"/>
              </w:numPr>
              <w:jc w:val="both"/>
              <w:rPr>
                <w:rFonts w:cs="Arial"/>
              </w:rPr>
            </w:pPr>
            <w:r>
              <w:rPr>
                <w:rFonts w:cs="Arial"/>
              </w:rPr>
              <w:t>8 weeks apart</w:t>
            </w:r>
          </w:p>
        </w:tc>
      </w:tr>
      <w:tr w:rsidR="00F35BCE" w:rsidTr="00F35BCE">
        <w:tc>
          <w:tcPr>
            <w:tcW w:w="0" w:type="auto"/>
            <w:vMerge/>
            <w:tcBorders>
              <w:top w:val="single" w:sz="4" w:space="0" w:color="auto"/>
              <w:left w:val="single" w:sz="4" w:space="0" w:color="auto"/>
              <w:bottom w:val="single" w:sz="4" w:space="0" w:color="auto"/>
              <w:right w:val="single" w:sz="4" w:space="0" w:color="auto"/>
            </w:tcBorders>
            <w:vAlign w:val="center"/>
            <w:hideMark/>
          </w:tcPr>
          <w:p w:rsidR="00F35BCE" w:rsidRDefault="00F35BCE">
            <w:pPr>
              <w:rPr>
                <w:rFonts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5BCE" w:rsidRDefault="00F35BCE">
            <w:pPr>
              <w:rPr>
                <w:rFonts w:cs="Arial"/>
              </w:rPr>
            </w:pPr>
          </w:p>
        </w:tc>
        <w:tc>
          <w:tcPr>
            <w:tcW w:w="4212" w:type="dxa"/>
            <w:tcBorders>
              <w:top w:val="single" w:sz="4" w:space="0" w:color="auto"/>
              <w:left w:val="single" w:sz="4" w:space="0" w:color="auto"/>
              <w:bottom w:val="single" w:sz="4" w:space="0" w:color="auto"/>
              <w:right w:val="single" w:sz="4" w:space="0" w:color="auto"/>
            </w:tcBorders>
            <w:hideMark/>
          </w:tcPr>
          <w:p w:rsidR="00F35BCE" w:rsidRDefault="00F35BCE">
            <w:pPr>
              <w:widowControl w:val="0"/>
              <w:jc w:val="both"/>
              <w:rPr>
                <w:rFonts w:cs="Arial"/>
              </w:rPr>
            </w:pPr>
            <w:r>
              <w:rPr>
                <w:rFonts w:cs="Arial"/>
              </w:rPr>
              <w:t>2023/2024 booster vaccination</w:t>
            </w:r>
          </w:p>
          <w:p w:rsidR="00F35BCE" w:rsidRDefault="00F35BCE" w:rsidP="00F35BCE">
            <w:pPr>
              <w:pStyle w:val="ListParagraph"/>
              <w:widowControl w:val="0"/>
              <w:numPr>
                <w:ilvl w:val="0"/>
                <w:numId w:val="29"/>
              </w:numPr>
              <w:jc w:val="both"/>
              <w:rPr>
                <w:rFonts w:cs="Arial"/>
              </w:rPr>
            </w:pPr>
            <w:r>
              <w:rPr>
                <w:rFonts w:cs="Arial"/>
              </w:rPr>
              <w:t>1 dose of 10 mcg (0.3mL)</w:t>
            </w:r>
          </w:p>
          <w:p w:rsidR="00F35BCE" w:rsidRDefault="00F35BCE" w:rsidP="00F35BCE">
            <w:pPr>
              <w:pStyle w:val="ListParagraph"/>
              <w:widowControl w:val="0"/>
              <w:numPr>
                <w:ilvl w:val="0"/>
                <w:numId w:val="29"/>
              </w:numPr>
              <w:jc w:val="both"/>
              <w:rPr>
                <w:rFonts w:cs="Arial"/>
                <w:sz w:val="24"/>
                <w:szCs w:val="24"/>
              </w:rPr>
            </w:pPr>
            <w:r>
              <w:rPr>
                <w:rFonts w:cs="Arial"/>
              </w:rPr>
              <w:t>1 year after the last dose</w:t>
            </w:r>
          </w:p>
        </w:tc>
      </w:tr>
    </w:tbl>
    <w:p w:rsidR="00F35BCE" w:rsidRDefault="00F35BCE" w:rsidP="00F35BCE">
      <w:pPr>
        <w:jc w:val="both"/>
        <w:rPr>
          <w:rFonts w:cs="Arial"/>
        </w:rPr>
      </w:pPr>
    </w:p>
    <w:p w:rsidR="00A07FA4" w:rsidRPr="004F7008" w:rsidRDefault="00A07FA4" w:rsidP="00A07FA4">
      <w:pPr>
        <w:pStyle w:val="ListParagraph"/>
        <w:numPr>
          <w:ilvl w:val="1"/>
          <w:numId w:val="1"/>
        </w:numPr>
        <w:rPr>
          <w:rFonts w:cs="Arial"/>
        </w:rPr>
      </w:pPr>
      <w:r w:rsidRPr="004F7008">
        <w:rPr>
          <w:rFonts w:cs="Arial"/>
        </w:rPr>
        <w:t xml:space="preserve">The advice to avoid strenuous physical activity after vaccination </w:t>
      </w:r>
      <w:r>
        <w:rPr>
          <w:rFonts w:cs="Arial"/>
        </w:rPr>
        <w:t>is</w:t>
      </w:r>
      <w:r w:rsidRPr="004F7008">
        <w:rPr>
          <w:rFonts w:cs="Arial"/>
        </w:rPr>
        <w:t xml:space="preserve"> updated to apply to only male vaccinees aged 12-29 years, for a duration of 1 week.</w:t>
      </w:r>
    </w:p>
    <w:p w:rsidR="00A07FA4" w:rsidRPr="004F7008" w:rsidRDefault="00A07FA4" w:rsidP="00A07FA4">
      <w:pPr>
        <w:pStyle w:val="ListParagraph"/>
        <w:ind w:left="567"/>
        <w:rPr>
          <w:rFonts w:cs="Arial"/>
        </w:rPr>
      </w:pPr>
    </w:p>
    <w:p w:rsidR="00A07FA4" w:rsidRPr="004F7008" w:rsidRDefault="00A07FA4" w:rsidP="00A07FA4">
      <w:pPr>
        <w:pStyle w:val="ListParagraph"/>
        <w:numPr>
          <w:ilvl w:val="1"/>
          <w:numId w:val="1"/>
        </w:numPr>
        <w:rPr>
          <w:rFonts w:cs="Arial"/>
        </w:rPr>
      </w:pPr>
      <w:r w:rsidRPr="004F7008">
        <w:rPr>
          <w:rFonts w:cs="Arial"/>
        </w:rPr>
        <w:t>COVID-19 vaccines can now be administered</w:t>
      </w:r>
      <w:r>
        <w:rPr>
          <w:rFonts w:cs="Arial"/>
        </w:rPr>
        <w:t xml:space="preserve"> concurrently</w:t>
      </w:r>
      <w:r w:rsidRPr="004F7008">
        <w:rPr>
          <w:rFonts w:cs="Arial"/>
        </w:rPr>
        <w:t xml:space="preserve"> with other </w:t>
      </w:r>
      <w:r w:rsidRPr="00257286">
        <w:rPr>
          <w:rFonts w:cs="Arial"/>
        </w:rPr>
        <w:t>non-COVID-19</w:t>
      </w:r>
      <w:r>
        <w:rPr>
          <w:rFonts w:cs="Arial"/>
        </w:rPr>
        <w:t xml:space="preserve"> </w:t>
      </w:r>
      <w:r w:rsidRPr="004F7008">
        <w:rPr>
          <w:rFonts w:cs="Arial"/>
        </w:rPr>
        <w:t>vaccines across all ages eligible for the vaccine.</w:t>
      </w:r>
    </w:p>
    <w:p w:rsidR="00A07FA4" w:rsidRPr="004F7008" w:rsidRDefault="00A07FA4" w:rsidP="00A07FA4">
      <w:pPr>
        <w:pStyle w:val="ListParagraph"/>
        <w:ind w:left="567"/>
        <w:rPr>
          <w:rFonts w:cs="Arial"/>
        </w:rPr>
      </w:pPr>
    </w:p>
    <w:p w:rsidR="00A07FA4" w:rsidRPr="004F7008" w:rsidRDefault="00A07FA4" w:rsidP="00A07FA4">
      <w:pPr>
        <w:pStyle w:val="ListParagraph"/>
        <w:numPr>
          <w:ilvl w:val="1"/>
          <w:numId w:val="1"/>
        </w:numPr>
        <w:rPr>
          <w:rFonts w:cs="Arial"/>
        </w:rPr>
      </w:pPr>
      <w:r w:rsidRPr="004F7008">
        <w:rPr>
          <w:rFonts w:cs="Arial"/>
        </w:rPr>
        <w:t>There is no</w:t>
      </w:r>
      <w:r>
        <w:rPr>
          <w:rFonts w:cs="Arial"/>
        </w:rPr>
        <w:t xml:space="preserve"> longer</w:t>
      </w:r>
      <w:r w:rsidRPr="004F7008">
        <w:rPr>
          <w:rFonts w:cs="Arial"/>
        </w:rPr>
        <w:t xml:space="preserve"> stipulated period of observation after COVID-19 vaccination, other than </w:t>
      </w:r>
      <w:r>
        <w:rPr>
          <w:rFonts w:cs="Arial"/>
        </w:rPr>
        <w:t>for</w:t>
      </w:r>
      <w:r w:rsidRPr="004F7008">
        <w:rPr>
          <w:rFonts w:cs="Arial"/>
        </w:rPr>
        <w:t xml:space="preserve"> persons at increased risk of anaphylaxis who should be observed for 30 minutes. These individuals include those who had </w:t>
      </w:r>
      <w:proofErr w:type="gramStart"/>
      <w:r w:rsidRPr="004F7008">
        <w:rPr>
          <w:rFonts w:cs="Arial"/>
        </w:rPr>
        <w:t>a past history</w:t>
      </w:r>
      <w:proofErr w:type="gramEnd"/>
      <w:r w:rsidRPr="004F7008">
        <w:rPr>
          <w:rFonts w:cs="Arial"/>
        </w:rPr>
        <w:t xml:space="preserve"> of:</w:t>
      </w:r>
    </w:p>
    <w:p w:rsidR="00A07FA4" w:rsidRPr="004F7008" w:rsidRDefault="00A07FA4" w:rsidP="00A07FA4">
      <w:pPr>
        <w:jc w:val="both"/>
        <w:rPr>
          <w:bCs/>
        </w:rPr>
      </w:pPr>
    </w:p>
    <w:p w:rsidR="00A07FA4" w:rsidRPr="004F7008" w:rsidRDefault="00A07FA4" w:rsidP="00A07FA4">
      <w:pPr>
        <w:ind w:left="720"/>
        <w:jc w:val="both"/>
        <w:rPr>
          <w:bCs/>
        </w:rPr>
      </w:pPr>
      <w:r w:rsidRPr="004F7008">
        <w:rPr>
          <w:bCs/>
        </w:rPr>
        <w:t>1)</w:t>
      </w:r>
      <w:r w:rsidRPr="004F7008">
        <w:rPr>
          <w:bCs/>
        </w:rPr>
        <w:tab/>
        <w:t>Allergic reactions (that is, immediate hypersensitivity reactions) to other COVID-19 vaccines, OR,</w:t>
      </w:r>
    </w:p>
    <w:p w:rsidR="00A07FA4" w:rsidRPr="004F7008" w:rsidRDefault="00A07FA4" w:rsidP="00A07FA4">
      <w:pPr>
        <w:ind w:left="720"/>
        <w:jc w:val="both"/>
        <w:rPr>
          <w:bCs/>
        </w:rPr>
      </w:pPr>
    </w:p>
    <w:p w:rsidR="00A07FA4" w:rsidRPr="004F7008" w:rsidRDefault="00A07FA4" w:rsidP="00A07FA4">
      <w:pPr>
        <w:ind w:left="720"/>
        <w:jc w:val="both"/>
        <w:rPr>
          <w:bCs/>
        </w:rPr>
      </w:pPr>
      <w:r w:rsidRPr="004F7008">
        <w:rPr>
          <w:bCs/>
        </w:rPr>
        <w:t>2)</w:t>
      </w:r>
      <w:r w:rsidRPr="004F7008">
        <w:rPr>
          <w:bCs/>
        </w:rPr>
        <w:tab/>
        <w:t>Any anaphylaxis</w:t>
      </w:r>
    </w:p>
    <w:p w:rsidR="00A07FA4" w:rsidRPr="00C025C2" w:rsidRDefault="00A07FA4" w:rsidP="00A07FA4">
      <w:pPr>
        <w:pStyle w:val="ListParagraph"/>
        <w:rPr>
          <w:bCs/>
        </w:rPr>
      </w:pPr>
    </w:p>
    <w:p w:rsidR="00A07FA4" w:rsidRPr="004F7008" w:rsidRDefault="00A07FA4" w:rsidP="00A07FA4">
      <w:pPr>
        <w:pStyle w:val="ListParagraph"/>
        <w:numPr>
          <w:ilvl w:val="1"/>
          <w:numId w:val="1"/>
        </w:numPr>
        <w:rPr>
          <w:rFonts w:cs="Arial"/>
        </w:rPr>
      </w:pPr>
      <w:r w:rsidRPr="004F7008">
        <w:rPr>
          <w:rFonts w:cs="Arial"/>
        </w:rPr>
        <w:t xml:space="preserve">Emergency drugs / equipment requirements for COVID-19 vaccine providers </w:t>
      </w:r>
      <w:r>
        <w:rPr>
          <w:rFonts w:cs="Arial"/>
        </w:rPr>
        <w:t>is</w:t>
      </w:r>
      <w:r w:rsidRPr="004F7008">
        <w:rPr>
          <w:rFonts w:cs="Arial"/>
        </w:rPr>
        <w:t xml:space="preserve"> now aligned to that required under prevailing regulatory requirements relevant to the licensable healthcare service which the licensee is licensed for and is stipulated in the </w:t>
      </w:r>
      <w:r w:rsidRPr="00BA679E">
        <w:t>"Licence Conditions for Providing or Intending to Provide Emergency Life Saving Measures"</w:t>
      </w:r>
      <w:r w:rsidRPr="004F7008">
        <w:rPr>
          <w:rFonts w:cs="Arial"/>
        </w:rPr>
        <w:t xml:space="preserve">. </w:t>
      </w:r>
    </w:p>
    <w:p w:rsidR="00A07FA4" w:rsidRPr="004F7008" w:rsidRDefault="00A07FA4" w:rsidP="00A07FA4">
      <w:pPr>
        <w:pStyle w:val="ListParagraph"/>
        <w:ind w:left="567"/>
        <w:rPr>
          <w:rFonts w:cs="Arial"/>
        </w:rPr>
      </w:pPr>
    </w:p>
    <w:p w:rsidR="00A07FA4" w:rsidRDefault="00A07FA4" w:rsidP="00A07FA4">
      <w:pPr>
        <w:pStyle w:val="ListParagraph"/>
        <w:numPr>
          <w:ilvl w:val="1"/>
          <w:numId w:val="1"/>
        </w:numPr>
        <w:rPr>
          <w:rFonts w:cs="Arial"/>
        </w:rPr>
      </w:pPr>
      <w:r w:rsidRPr="004F7008">
        <w:rPr>
          <w:rFonts w:cs="Arial"/>
        </w:rPr>
        <w:t xml:space="preserve">There is no </w:t>
      </w:r>
      <w:r>
        <w:rPr>
          <w:rFonts w:cs="Arial"/>
        </w:rPr>
        <w:t xml:space="preserve">more </w:t>
      </w:r>
      <w:r w:rsidRPr="004F7008">
        <w:rPr>
          <w:rFonts w:cs="Arial"/>
        </w:rPr>
        <w:t>restrict</w:t>
      </w:r>
      <w:r>
        <w:rPr>
          <w:rFonts w:cs="Arial"/>
        </w:rPr>
        <w:t>ion of</w:t>
      </w:r>
      <w:r w:rsidRPr="004F7008">
        <w:rPr>
          <w:rFonts w:cs="Arial"/>
        </w:rPr>
        <w:t xml:space="preserve"> nonsteroidal anti-inflammatory drugs (NSAIDs) use after COVID-19 vaccine administration.</w:t>
      </w:r>
    </w:p>
    <w:p w:rsidR="00106D0D" w:rsidRPr="00106D0D" w:rsidRDefault="00106D0D" w:rsidP="00106D0D">
      <w:pPr>
        <w:pStyle w:val="ListParagraph"/>
        <w:rPr>
          <w:rFonts w:cs="Arial"/>
        </w:rPr>
      </w:pPr>
    </w:p>
    <w:p w:rsidR="00106D0D" w:rsidRPr="004F7008" w:rsidRDefault="00106D0D" w:rsidP="00A07FA4">
      <w:pPr>
        <w:pStyle w:val="ListParagraph"/>
        <w:numPr>
          <w:ilvl w:val="1"/>
          <w:numId w:val="1"/>
        </w:numPr>
        <w:rPr>
          <w:rFonts w:cs="Arial"/>
        </w:rPr>
      </w:pPr>
      <w:r>
        <w:rPr>
          <w:rFonts w:cs="Arial"/>
        </w:rPr>
        <w:t xml:space="preserve">For ages 5 years to 11 years, the updated Pfizer-BioNTech/Comirnaty XBB.1.5 COVID-19 vaccine </w:t>
      </w:r>
      <w:r>
        <w:rPr>
          <w:rFonts w:cs="Arial"/>
          <w:b/>
          <w:bCs/>
        </w:rPr>
        <w:t>DOES NOT REQUIRE DILUTION</w:t>
      </w:r>
      <w:r>
        <w:rPr>
          <w:rFonts w:cs="Arial"/>
        </w:rPr>
        <w:t xml:space="preserve">, and the </w:t>
      </w:r>
      <w:r>
        <w:rPr>
          <w:rFonts w:cs="Arial"/>
          <w:b/>
          <w:bCs/>
          <w:u w:val="single"/>
        </w:rPr>
        <w:t>volume of each dose is 0.3mL</w:t>
      </w:r>
      <w:r>
        <w:rPr>
          <w:rFonts w:cs="Arial"/>
        </w:rPr>
        <w:t xml:space="preserve"> (10mcg). This is different from the previous version of the Pfizer BioNTech/Comirnaty vaccine.</w:t>
      </w:r>
    </w:p>
    <w:p w:rsidR="00B42CF1" w:rsidRDefault="00B42CF1" w:rsidP="00F35BCE">
      <w:pPr>
        <w:jc w:val="both"/>
        <w:rPr>
          <w:rFonts w:cs="Arial"/>
        </w:rPr>
      </w:pPr>
    </w:p>
    <w:p w:rsidR="00F35BCE" w:rsidRDefault="00F35BCE" w:rsidP="00F35BCE">
      <w:pPr>
        <w:pStyle w:val="ListParagraph"/>
        <w:numPr>
          <w:ilvl w:val="1"/>
          <w:numId w:val="26"/>
        </w:numPr>
        <w:jc w:val="both"/>
        <w:rPr>
          <w:rFonts w:cs="Arial"/>
        </w:rPr>
      </w:pPr>
      <w:r>
        <w:rPr>
          <w:rFonts w:cs="Arial"/>
        </w:rPr>
        <w:t xml:space="preserve">Information on dosage, administration, storage, and handling are included in the vaccine package insert below. </w:t>
      </w:r>
      <w:r w:rsidRPr="00D24A82">
        <w:rPr>
          <w:rFonts w:cs="Arial"/>
        </w:rPr>
        <w:t>Vaccination Providers</w:t>
      </w:r>
      <w:r>
        <w:rPr>
          <w:rFonts w:cs="Arial"/>
        </w:rPr>
        <w:t xml:space="preserve"> staff should ensure that they are familiar with the materials before carrying out vaccinations.</w:t>
      </w:r>
    </w:p>
    <w:p w:rsidR="00F35BCE" w:rsidRDefault="00F35BCE" w:rsidP="00F35BCE">
      <w:pPr>
        <w:ind w:left="567"/>
        <w:jc w:val="both"/>
        <w:rPr>
          <w:rFonts w:cs="Arial"/>
          <w:strike/>
          <w:color w:val="FF0000"/>
        </w:rPr>
      </w:pPr>
    </w:p>
    <w:p w:rsidR="006F53B8" w:rsidRDefault="006F53B8" w:rsidP="00F35BCE">
      <w:pPr>
        <w:ind w:left="567"/>
        <w:jc w:val="both"/>
        <w:rPr>
          <w:rFonts w:cs="Arial"/>
          <w:strike/>
          <w:color w:val="FF0000"/>
        </w:rPr>
      </w:pPr>
    </w:p>
    <w:p w:rsidR="006F53B8" w:rsidRDefault="006F53B8" w:rsidP="00F35BCE">
      <w:pPr>
        <w:ind w:left="567"/>
        <w:jc w:val="both"/>
        <w:rPr>
          <w:rFonts w:cs="Arial"/>
          <w:strike/>
          <w:color w:val="FF0000"/>
        </w:rPr>
      </w:pPr>
    </w:p>
    <w:p w:rsidR="006F53B8" w:rsidRDefault="006F53B8" w:rsidP="00F35BCE">
      <w:pPr>
        <w:ind w:left="567"/>
        <w:jc w:val="both"/>
        <w:rPr>
          <w:rFonts w:cs="Arial"/>
          <w:strike/>
          <w:color w:val="FF0000"/>
        </w:rPr>
      </w:pPr>
    </w:p>
    <w:tbl>
      <w:tblPr>
        <w:tblStyle w:val="TableGrid"/>
        <w:tblW w:w="0" w:type="auto"/>
        <w:tblInd w:w="567" w:type="dxa"/>
        <w:tblLook w:val="04A0" w:firstRow="1" w:lastRow="0" w:firstColumn="1" w:lastColumn="0" w:noHBand="0" w:noVBand="1"/>
      </w:tblPr>
      <w:tblGrid>
        <w:gridCol w:w="2972"/>
        <w:gridCol w:w="2835"/>
        <w:gridCol w:w="2642"/>
      </w:tblGrid>
      <w:tr w:rsidR="00F35BCE" w:rsidTr="00F35BCE">
        <w:tc>
          <w:tcPr>
            <w:tcW w:w="2972" w:type="dxa"/>
            <w:tcBorders>
              <w:top w:val="single" w:sz="4" w:space="0" w:color="auto"/>
              <w:left w:val="single" w:sz="4" w:space="0" w:color="auto"/>
              <w:bottom w:val="single" w:sz="4" w:space="0" w:color="auto"/>
              <w:right w:val="single" w:sz="4" w:space="0" w:color="auto"/>
            </w:tcBorders>
            <w:hideMark/>
          </w:tcPr>
          <w:bookmarkEnd w:id="4"/>
          <w:p w:rsidR="00F35BCE" w:rsidRDefault="00F35BCE">
            <w:pPr>
              <w:pStyle w:val="ListParagraph"/>
              <w:ind w:left="0"/>
              <w:jc w:val="both"/>
              <w:rPr>
                <w:rFonts w:cs="Arial"/>
              </w:rPr>
            </w:pPr>
            <w:r>
              <w:rPr>
                <w:rFonts w:cs="Arial"/>
                <w:b/>
                <w:bCs/>
              </w:rPr>
              <w:t>Document</w:t>
            </w:r>
          </w:p>
        </w:tc>
        <w:tc>
          <w:tcPr>
            <w:tcW w:w="2835" w:type="dxa"/>
            <w:tcBorders>
              <w:top w:val="single" w:sz="4" w:space="0" w:color="auto"/>
              <w:left w:val="single" w:sz="4" w:space="0" w:color="auto"/>
              <w:bottom w:val="single" w:sz="4" w:space="0" w:color="auto"/>
              <w:right w:val="single" w:sz="4" w:space="0" w:color="auto"/>
            </w:tcBorders>
            <w:hideMark/>
          </w:tcPr>
          <w:p w:rsidR="00F35BCE" w:rsidRDefault="00F35BCE">
            <w:pPr>
              <w:pStyle w:val="ListParagraph"/>
              <w:ind w:left="0"/>
              <w:jc w:val="both"/>
              <w:rPr>
                <w:rFonts w:cs="Arial"/>
              </w:rPr>
            </w:pPr>
            <w:r>
              <w:rPr>
                <w:rFonts w:cs="Arial"/>
                <w:b/>
                <w:bCs/>
              </w:rPr>
              <w:t>Purpose of Document</w:t>
            </w:r>
          </w:p>
        </w:tc>
        <w:tc>
          <w:tcPr>
            <w:tcW w:w="2642" w:type="dxa"/>
            <w:tcBorders>
              <w:top w:val="single" w:sz="4" w:space="0" w:color="auto"/>
              <w:left w:val="single" w:sz="4" w:space="0" w:color="auto"/>
              <w:bottom w:val="single" w:sz="4" w:space="0" w:color="auto"/>
              <w:right w:val="single" w:sz="4" w:space="0" w:color="auto"/>
            </w:tcBorders>
            <w:hideMark/>
          </w:tcPr>
          <w:p w:rsidR="00F35BCE" w:rsidRDefault="00F35BCE">
            <w:pPr>
              <w:pStyle w:val="ListParagraph"/>
              <w:ind w:left="0"/>
              <w:jc w:val="both"/>
              <w:rPr>
                <w:rFonts w:cs="Arial"/>
              </w:rPr>
            </w:pPr>
            <w:r>
              <w:rPr>
                <w:rFonts w:cs="Arial"/>
                <w:b/>
                <w:bCs/>
              </w:rPr>
              <w:t xml:space="preserve">Pfizer-BioNTech/Comirnaty Monovalent </w:t>
            </w:r>
          </w:p>
        </w:tc>
      </w:tr>
      <w:tr w:rsidR="00F35BCE" w:rsidTr="00F35BCE">
        <w:trPr>
          <w:trHeight w:val="1038"/>
        </w:trPr>
        <w:tc>
          <w:tcPr>
            <w:tcW w:w="2972" w:type="dxa"/>
            <w:tcBorders>
              <w:top w:val="single" w:sz="4" w:space="0" w:color="auto"/>
              <w:left w:val="single" w:sz="4" w:space="0" w:color="auto"/>
              <w:bottom w:val="single" w:sz="4" w:space="0" w:color="auto"/>
              <w:right w:val="single" w:sz="4" w:space="0" w:color="auto"/>
            </w:tcBorders>
            <w:hideMark/>
          </w:tcPr>
          <w:p w:rsidR="00F35BCE" w:rsidRDefault="00F35BCE">
            <w:pPr>
              <w:pStyle w:val="ListParagraph"/>
              <w:ind w:left="0"/>
              <w:jc w:val="both"/>
              <w:rPr>
                <w:rFonts w:cs="Arial"/>
              </w:rPr>
            </w:pPr>
            <w:r>
              <w:t>Vaccine Package Insert</w:t>
            </w:r>
          </w:p>
        </w:tc>
        <w:tc>
          <w:tcPr>
            <w:tcW w:w="2835" w:type="dxa"/>
            <w:tcBorders>
              <w:top w:val="single" w:sz="4" w:space="0" w:color="auto"/>
              <w:left w:val="single" w:sz="4" w:space="0" w:color="auto"/>
              <w:bottom w:val="single" w:sz="4" w:space="0" w:color="auto"/>
              <w:right w:val="single" w:sz="4" w:space="0" w:color="auto"/>
            </w:tcBorders>
            <w:hideMark/>
          </w:tcPr>
          <w:p w:rsidR="00F35BCE" w:rsidRDefault="00F35BCE">
            <w:pPr>
              <w:jc w:val="both"/>
              <w:rPr>
                <w:rFonts w:cs="Arial"/>
              </w:rPr>
            </w:pPr>
            <w:r>
              <w:t>Information</w:t>
            </w:r>
            <w:r>
              <w:rPr>
                <w:color w:val="FF0000"/>
              </w:rPr>
              <w:t xml:space="preserve"> </w:t>
            </w:r>
            <w:r>
              <w:t>to vaccination clinics and vaccinators on dosage, administration, storage, and handling</w:t>
            </w:r>
          </w:p>
        </w:tc>
        <w:tc>
          <w:tcPr>
            <w:tcW w:w="2642" w:type="dxa"/>
            <w:tcBorders>
              <w:top w:val="single" w:sz="4" w:space="0" w:color="auto"/>
              <w:left w:val="single" w:sz="4" w:space="0" w:color="auto"/>
              <w:bottom w:val="single" w:sz="4" w:space="0" w:color="auto"/>
              <w:right w:val="single" w:sz="4" w:space="0" w:color="auto"/>
            </w:tcBorders>
            <w:hideMark/>
          </w:tcPr>
          <w:p w:rsidR="00F35BCE" w:rsidRDefault="00B71A80">
            <w:pPr>
              <w:pStyle w:val="ListParagraph"/>
              <w:ind w:left="0"/>
              <w:jc w:val="both"/>
              <w:rPr>
                <w:rFonts w:cs="Arial"/>
                <w:color w:val="0070C0"/>
              </w:rPr>
            </w:pPr>
            <w:r>
              <w:object w:dxaOrig="2262" w:dyaOrig="1475" w14:anchorId="36D8A4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8.5pt" o:ole="">
                  <v:imagedata r:id="rId10" o:title=""/>
                </v:shape>
                <o:OLEObject Type="Embed" ProgID="AcroExch.Document.DC" ShapeID="_x0000_i1025" DrawAspect="Icon" ObjectID="_1783446641" r:id="rId11"/>
              </w:object>
            </w:r>
          </w:p>
        </w:tc>
      </w:tr>
    </w:tbl>
    <w:p w:rsidR="00F35BCE" w:rsidRDefault="00F35BCE" w:rsidP="00F35BCE">
      <w:pPr>
        <w:jc w:val="both"/>
        <w:rPr>
          <w:rFonts w:cs="Arial"/>
        </w:rPr>
      </w:pPr>
    </w:p>
    <w:p w:rsidR="00F35BCE" w:rsidRDefault="00F35BCE" w:rsidP="00F35BCE">
      <w:pPr>
        <w:pStyle w:val="ListParagraph"/>
        <w:numPr>
          <w:ilvl w:val="1"/>
          <w:numId w:val="26"/>
        </w:numPr>
        <w:jc w:val="both"/>
      </w:pPr>
      <w:r>
        <w:t xml:space="preserve">Vaccination Centres </w:t>
      </w:r>
      <w:r>
        <w:rPr>
          <w:rFonts w:cs="Arial"/>
        </w:rPr>
        <w:t xml:space="preserve">should refer clients with conditions listed in Table 1 to the hospital for their COVID-19 vaccination. </w:t>
      </w:r>
      <w:r>
        <w:t xml:space="preserve">    </w:t>
      </w:r>
    </w:p>
    <w:p w:rsidR="00F35BCE" w:rsidRDefault="00F35BCE" w:rsidP="00F35BCE">
      <w:pPr>
        <w:pStyle w:val="ListParagraph"/>
        <w:ind w:left="567"/>
        <w:jc w:val="both"/>
      </w:pPr>
    </w:p>
    <w:p w:rsidR="00F35BCE" w:rsidRDefault="00F35BCE" w:rsidP="00F35BCE">
      <w:pPr>
        <w:ind w:left="567"/>
        <w:jc w:val="both"/>
        <w:rPr>
          <w:rFonts w:cstheme="minorHAnsi"/>
          <w:i/>
          <w:iCs/>
        </w:rPr>
      </w:pPr>
      <w:r>
        <w:rPr>
          <w:rFonts w:cstheme="minorHAnsi"/>
          <w:i/>
          <w:iCs/>
        </w:rPr>
        <w:t>Table 1: Exceptions for vaccination in hospital</w:t>
      </w:r>
    </w:p>
    <w:tbl>
      <w:tblPr>
        <w:tblStyle w:val="TableGrid"/>
        <w:tblW w:w="8556" w:type="dxa"/>
        <w:tblInd w:w="439" w:type="dxa"/>
        <w:tblLook w:val="04A0" w:firstRow="1" w:lastRow="0" w:firstColumn="1" w:lastColumn="0" w:noHBand="0" w:noVBand="1"/>
      </w:tblPr>
      <w:tblGrid>
        <w:gridCol w:w="1522"/>
        <w:gridCol w:w="7034"/>
      </w:tblGrid>
      <w:tr w:rsidR="00F35BCE" w:rsidTr="00F35BCE">
        <w:trPr>
          <w:trHeight w:val="575"/>
        </w:trPr>
        <w:tc>
          <w:tcPr>
            <w:tcW w:w="15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35BCE" w:rsidRDefault="00F35BCE">
            <w:pPr>
              <w:jc w:val="center"/>
              <w:rPr>
                <w:rFonts w:eastAsia="Calibri" w:cstheme="minorHAnsi"/>
                <w:b/>
                <w:bCs/>
              </w:rPr>
            </w:pPr>
            <w:bookmarkStart w:id="5" w:name="_Hlk115868405"/>
            <w:r>
              <w:rPr>
                <w:rFonts w:eastAsia="Calibri" w:cstheme="minorHAnsi"/>
                <w:b/>
                <w:bCs/>
              </w:rPr>
              <w:t>Specialty</w:t>
            </w:r>
          </w:p>
        </w:tc>
        <w:tc>
          <w:tcPr>
            <w:tcW w:w="70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35BCE" w:rsidRDefault="00F35BCE">
            <w:pPr>
              <w:jc w:val="center"/>
              <w:rPr>
                <w:rFonts w:eastAsia="Calibri" w:cstheme="minorHAnsi"/>
                <w:b/>
                <w:bCs/>
                <w:u w:val="single"/>
                <w:lang w:eastAsia="en-SG"/>
              </w:rPr>
            </w:pPr>
            <w:r>
              <w:rPr>
                <w:rFonts w:eastAsia="Calibri" w:cstheme="minorHAnsi"/>
                <w:b/>
                <w:bCs/>
                <w:u w:val="single"/>
              </w:rPr>
              <w:t xml:space="preserve">Consider vaccination in hospital </w:t>
            </w:r>
          </w:p>
        </w:tc>
      </w:tr>
      <w:tr w:rsidR="00F35BCE" w:rsidTr="00F35BCE">
        <w:tc>
          <w:tcPr>
            <w:tcW w:w="1522" w:type="dxa"/>
            <w:tcBorders>
              <w:top w:val="single" w:sz="4" w:space="0" w:color="auto"/>
              <w:left w:val="single" w:sz="4" w:space="0" w:color="auto"/>
              <w:bottom w:val="single" w:sz="4" w:space="0" w:color="auto"/>
              <w:right w:val="single" w:sz="4" w:space="0" w:color="auto"/>
            </w:tcBorders>
            <w:vAlign w:val="center"/>
            <w:hideMark/>
          </w:tcPr>
          <w:p w:rsidR="00F35BCE" w:rsidRDefault="00F35BCE">
            <w:pPr>
              <w:jc w:val="center"/>
              <w:rPr>
                <w:rFonts w:eastAsia="Calibri" w:cstheme="minorHAnsi"/>
              </w:rPr>
            </w:pPr>
            <w:r>
              <w:rPr>
                <w:rFonts w:eastAsia="Calibri" w:cstheme="minorHAnsi"/>
              </w:rPr>
              <w:t>Cardiology</w:t>
            </w:r>
          </w:p>
        </w:tc>
        <w:tc>
          <w:tcPr>
            <w:tcW w:w="7034" w:type="dxa"/>
            <w:tcBorders>
              <w:top w:val="single" w:sz="4" w:space="0" w:color="auto"/>
              <w:left w:val="single" w:sz="4" w:space="0" w:color="auto"/>
              <w:bottom w:val="single" w:sz="4" w:space="0" w:color="auto"/>
              <w:right w:val="single" w:sz="4" w:space="0" w:color="auto"/>
            </w:tcBorders>
            <w:vAlign w:val="center"/>
            <w:hideMark/>
          </w:tcPr>
          <w:p w:rsidR="00F35BCE" w:rsidRDefault="00F35BCE" w:rsidP="00F35BCE">
            <w:pPr>
              <w:pStyle w:val="ListParagraph"/>
              <w:numPr>
                <w:ilvl w:val="0"/>
                <w:numId w:val="30"/>
              </w:numPr>
              <w:ind w:left="257" w:hanging="257"/>
              <w:rPr>
                <w:rFonts w:cs="Arial"/>
                <w:bCs/>
              </w:rPr>
            </w:pPr>
            <w:r>
              <w:rPr>
                <w:rFonts w:cs="Arial"/>
              </w:rPr>
              <w:t>Persistent fluid overload or pulmonary hypertension, and/or NYHA class 3 or 4 symptoms</w:t>
            </w:r>
          </w:p>
          <w:p w:rsidR="00F35BCE" w:rsidRDefault="00F35BCE" w:rsidP="00F35BCE">
            <w:pPr>
              <w:pStyle w:val="ListParagraph"/>
              <w:numPr>
                <w:ilvl w:val="0"/>
                <w:numId w:val="30"/>
              </w:numPr>
              <w:ind w:left="257" w:hanging="257"/>
              <w:rPr>
                <w:rFonts w:cstheme="minorHAnsi"/>
                <w:bCs/>
                <w:color w:val="000000" w:themeColor="text1"/>
              </w:rPr>
            </w:pPr>
            <w:r>
              <w:rPr>
                <w:rFonts w:cstheme="minorHAnsi"/>
                <w:bCs/>
                <w:color w:val="000000" w:themeColor="text1"/>
              </w:rPr>
              <w:t>Severe, symptomatic stenotic valvular heart disease (with angina, faints, shortness of breath)</w:t>
            </w:r>
          </w:p>
          <w:p w:rsidR="00F35BCE" w:rsidRDefault="00F35BCE" w:rsidP="00F35BCE">
            <w:pPr>
              <w:pStyle w:val="ListParagraph"/>
              <w:numPr>
                <w:ilvl w:val="0"/>
                <w:numId w:val="30"/>
              </w:numPr>
              <w:ind w:left="257" w:hanging="257"/>
              <w:rPr>
                <w:rFonts w:cstheme="minorHAnsi"/>
                <w:bCs/>
                <w:color w:val="000000" w:themeColor="text1"/>
                <w:lang w:eastAsia="en-SG"/>
              </w:rPr>
            </w:pPr>
            <w:r>
              <w:rPr>
                <w:rFonts w:cstheme="minorHAnsi"/>
                <w:bCs/>
                <w:color w:val="000000" w:themeColor="text1"/>
              </w:rPr>
              <w:t xml:space="preserve">Hypertrophic cardiomyopathy with outflow tract obstruction </w:t>
            </w:r>
          </w:p>
        </w:tc>
        <w:bookmarkEnd w:id="5"/>
      </w:tr>
      <w:tr w:rsidR="00F35BCE" w:rsidTr="00F35BCE">
        <w:tc>
          <w:tcPr>
            <w:tcW w:w="1522" w:type="dxa"/>
            <w:tcBorders>
              <w:top w:val="single" w:sz="4" w:space="0" w:color="auto"/>
              <w:left w:val="single" w:sz="4" w:space="0" w:color="auto"/>
              <w:bottom w:val="single" w:sz="4" w:space="0" w:color="auto"/>
              <w:right w:val="single" w:sz="4" w:space="0" w:color="auto"/>
            </w:tcBorders>
            <w:vAlign w:val="center"/>
            <w:hideMark/>
          </w:tcPr>
          <w:p w:rsidR="00F35BCE" w:rsidRDefault="00F35BCE">
            <w:pPr>
              <w:jc w:val="center"/>
              <w:rPr>
                <w:rFonts w:eastAsia="Calibri" w:cstheme="minorHAnsi"/>
              </w:rPr>
            </w:pPr>
            <w:r>
              <w:rPr>
                <w:rFonts w:eastAsia="Calibri" w:cstheme="minorHAnsi"/>
              </w:rPr>
              <w:t>Respiratory</w:t>
            </w:r>
          </w:p>
        </w:tc>
        <w:tc>
          <w:tcPr>
            <w:tcW w:w="7034" w:type="dxa"/>
            <w:tcBorders>
              <w:top w:val="single" w:sz="4" w:space="0" w:color="auto"/>
              <w:left w:val="single" w:sz="4" w:space="0" w:color="auto"/>
              <w:bottom w:val="single" w:sz="4" w:space="0" w:color="auto"/>
              <w:right w:val="single" w:sz="4" w:space="0" w:color="auto"/>
            </w:tcBorders>
            <w:hideMark/>
          </w:tcPr>
          <w:p w:rsidR="00F35BCE" w:rsidRDefault="00F35BCE" w:rsidP="00F35BCE">
            <w:pPr>
              <w:pStyle w:val="ListParagraph"/>
              <w:numPr>
                <w:ilvl w:val="0"/>
                <w:numId w:val="31"/>
              </w:numPr>
              <w:ind w:left="257" w:hanging="257"/>
              <w:rPr>
                <w:rFonts w:eastAsia="Calibri" w:cstheme="minorHAnsi"/>
                <w:color w:val="000000" w:themeColor="text1"/>
                <w:lang w:eastAsia="en-SG"/>
              </w:rPr>
            </w:pPr>
            <w:r>
              <w:rPr>
                <w:rFonts w:eastAsia="Calibri" w:cstheme="minorHAnsi"/>
                <w:color w:val="000000" w:themeColor="text1"/>
              </w:rPr>
              <w:t>Advanced neuromuscular conditions with chronic respiratory failure, especially those on prolonged BiPAP support</w:t>
            </w:r>
          </w:p>
          <w:p w:rsidR="00F35BCE" w:rsidRDefault="00F35BCE" w:rsidP="00F35BCE">
            <w:pPr>
              <w:pStyle w:val="ListParagraph"/>
              <w:numPr>
                <w:ilvl w:val="0"/>
                <w:numId w:val="31"/>
              </w:numPr>
              <w:ind w:left="257" w:hanging="257"/>
              <w:rPr>
                <w:rFonts w:eastAsia="Calibri" w:cstheme="minorHAnsi"/>
                <w:color w:val="000000" w:themeColor="text1"/>
              </w:rPr>
            </w:pPr>
            <w:r>
              <w:rPr>
                <w:rFonts w:eastAsia="Calibri" w:cstheme="minorHAnsi"/>
                <w:color w:val="000000" w:themeColor="text1"/>
              </w:rPr>
              <w:t xml:space="preserve">Chronic lung disease with need for respiratory support (i.e. on supplemental oxygen or requiring suctioning) </w:t>
            </w:r>
          </w:p>
        </w:tc>
      </w:tr>
    </w:tbl>
    <w:p w:rsidR="00F35BCE" w:rsidRDefault="00F35BCE" w:rsidP="00F35BCE">
      <w:pPr>
        <w:jc w:val="both"/>
      </w:pPr>
    </w:p>
    <w:p w:rsidR="00F35BCE" w:rsidRDefault="00F35BCE" w:rsidP="00F35BCE">
      <w:pPr>
        <w:pStyle w:val="ListParagraph"/>
        <w:numPr>
          <w:ilvl w:val="1"/>
          <w:numId w:val="26"/>
        </w:numPr>
        <w:jc w:val="both"/>
      </w:pPr>
      <w:r>
        <w:t>Table 2 provides a non-exhaustive list of conditions that can be vaccinated at community vaccination sites.</w:t>
      </w:r>
    </w:p>
    <w:p w:rsidR="00F35BCE" w:rsidRDefault="00F35BCE" w:rsidP="00F35BCE">
      <w:pPr>
        <w:jc w:val="both"/>
      </w:pPr>
    </w:p>
    <w:p w:rsidR="00F35BCE" w:rsidRDefault="00F35BCE" w:rsidP="00F35BCE">
      <w:pPr>
        <w:pStyle w:val="ListParagraph"/>
        <w:ind w:left="567"/>
        <w:jc w:val="both"/>
        <w:rPr>
          <w:i/>
          <w:iCs/>
        </w:rPr>
      </w:pPr>
      <w:r>
        <w:rPr>
          <w:i/>
          <w:iCs/>
        </w:rPr>
        <w:t>Table 2: Non-exhaustive list of conditions that can be vaccinated at community vaccination sites</w:t>
      </w:r>
    </w:p>
    <w:tbl>
      <w:tblPr>
        <w:tblStyle w:val="TableGrid"/>
        <w:tblW w:w="0" w:type="auto"/>
        <w:tblInd w:w="567" w:type="dxa"/>
        <w:tblLook w:val="04A0" w:firstRow="1" w:lastRow="0" w:firstColumn="1" w:lastColumn="0" w:noHBand="0" w:noVBand="1"/>
      </w:tblPr>
      <w:tblGrid>
        <w:gridCol w:w="1696"/>
        <w:gridCol w:w="6753"/>
      </w:tblGrid>
      <w:tr w:rsidR="00F35BCE" w:rsidTr="00F35BCE">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35BCE" w:rsidRDefault="00F35BCE">
            <w:pPr>
              <w:pStyle w:val="ListParagraph"/>
              <w:ind w:left="0"/>
              <w:jc w:val="both"/>
            </w:pPr>
            <w:r>
              <w:rPr>
                <w:rFonts w:eastAsia="Calibri" w:cstheme="minorHAnsi"/>
                <w:b/>
                <w:bCs/>
              </w:rPr>
              <w:t>Specialty</w:t>
            </w:r>
          </w:p>
        </w:tc>
        <w:tc>
          <w:tcPr>
            <w:tcW w:w="67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35BCE" w:rsidRDefault="00F35BCE">
            <w:pPr>
              <w:pStyle w:val="ListParagraph"/>
              <w:ind w:left="0"/>
              <w:jc w:val="both"/>
            </w:pPr>
            <w:r>
              <w:rPr>
                <w:rFonts w:eastAsia="Calibri" w:cstheme="minorHAnsi"/>
                <w:b/>
                <w:bCs/>
                <w:u w:val="single"/>
              </w:rPr>
              <w:t>Can be safely vaccinated in community vaccination sites</w:t>
            </w:r>
            <w:r>
              <w:rPr>
                <w:rFonts w:eastAsia="Calibri" w:cstheme="minorHAnsi"/>
              </w:rPr>
              <w:t xml:space="preserve"> </w:t>
            </w:r>
          </w:p>
        </w:tc>
      </w:tr>
      <w:tr w:rsidR="00F35BCE" w:rsidTr="00F35BCE">
        <w:tc>
          <w:tcPr>
            <w:tcW w:w="1696" w:type="dxa"/>
            <w:tcBorders>
              <w:top w:val="single" w:sz="4" w:space="0" w:color="auto"/>
              <w:left w:val="single" w:sz="4" w:space="0" w:color="auto"/>
              <w:bottom w:val="single" w:sz="4" w:space="0" w:color="auto"/>
              <w:right w:val="single" w:sz="4" w:space="0" w:color="auto"/>
            </w:tcBorders>
            <w:vAlign w:val="center"/>
            <w:hideMark/>
          </w:tcPr>
          <w:p w:rsidR="00F35BCE" w:rsidRDefault="00F35BCE">
            <w:pPr>
              <w:pStyle w:val="ListParagraph"/>
              <w:ind w:left="0"/>
              <w:jc w:val="both"/>
            </w:pPr>
            <w:r>
              <w:rPr>
                <w:rFonts w:eastAsia="Calibri" w:cstheme="minorHAnsi"/>
              </w:rPr>
              <w:t>Allergy</w:t>
            </w:r>
          </w:p>
        </w:tc>
        <w:tc>
          <w:tcPr>
            <w:tcW w:w="6753" w:type="dxa"/>
            <w:tcBorders>
              <w:top w:val="single" w:sz="4" w:space="0" w:color="auto"/>
              <w:left w:val="single" w:sz="4" w:space="0" w:color="auto"/>
              <w:bottom w:val="single" w:sz="4" w:space="0" w:color="auto"/>
              <w:right w:val="single" w:sz="4" w:space="0" w:color="auto"/>
            </w:tcBorders>
            <w:vAlign w:val="center"/>
            <w:hideMark/>
          </w:tcPr>
          <w:p w:rsidR="00F35BCE" w:rsidRDefault="00F35BCE">
            <w:pPr>
              <w:pStyle w:val="ListParagraph"/>
              <w:ind w:left="0"/>
              <w:jc w:val="both"/>
            </w:pPr>
            <w:r>
              <w:rPr>
                <w:rFonts w:eastAsia="Calibri" w:cstheme="minorHAnsi"/>
              </w:rPr>
              <w:t>All patients with non-vaccine related allergies can be safely vaccinated in a community vaccination centre.</w:t>
            </w:r>
          </w:p>
        </w:tc>
      </w:tr>
      <w:tr w:rsidR="00F35BCE" w:rsidTr="00F35BCE">
        <w:tc>
          <w:tcPr>
            <w:tcW w:w="1696" w:type="dxa"/>
            <w:tcBorders>
              <w:top w:val="single" w:sz="4" w:space="0" w:color="auto"/>
              <w:left w:val="single" w:sz="4" w:space="0" w:color="auto"/>
              <w:bottom w:val="single" w:sz="4" w:space="0" w:color="auto"/>
              <w:right w:val="single" w:sz="4" w:space="0" w:color="auto"/>
            </w:tcBorders>
            <w:vAlign w:val="center"/>
            <w:hideMark/>
          </w:tcPr>
          <w:p w:rsidR="00F35BCE" w:rsidRDefault="00F35BCE">
            <w:pPr>
              <w:pStyle w:val="ListParagraph"/>
              <w:ind w:left="0"/>
              <w:jc w:val="both"/>
            </w:pPr>
            <w:r>
              <w:rPr>
                <w:rFonts w:eastAsia="Calibri" w:cstheme="minorHAnsi"/>
              </w:rPr>
              <w:t>Cardiology</w:t>
            </w:r>
          </w:p>
        </w:tc>
        <w:tc>
          <w:tcPr>
            <w:tcW w:w="6753" w:type="dxa"/>
            <w:tcBorders>
              <w:top w:val="single" w:sz="4" w:space="0" w:color="auto"/>
              <w:left w:val="single" w:sz="4" w:space="0" w:color="auto"/>
              <w:bottom w:val="single" w:sz="4" w:space="0" w:color="auto"/>
              <w:right w:val="single" w:sz="4" w:space="0" w:color="auto"/>
            </w:tcBorders>
            <w:vAlign w:val="center"/>
            <w:hideMark/>
          </w:tcPr>
          <w:p w:rsidR="00F35BCE" w:rsidRDefault="00F35BCE">
            <w:pPr>
              <w:pStyle w:val="ListParagraph"/>
              <w:ind w:left="0"/>
              <w:jc w:val="both"/>
            </w:pPr>
            <w:r>
              <w:rPr>
                <w:rFonts w:eastAsia="Calibri" w:cstheme="minorHAnsi"/>
              </w:rPr>
              <w:t>Except for conditions in table 1, all other patients can be safely vaccinated in a community vaccination centre.</w:t>
            </w:r>
          </w:p>
        </w:tc>
      </w:tr>
      <w:tr w:rsidR="00F35BCE" w:rsidTr="00F35BCE">
        <w:tc>
          <w:tcPr>
            <w:tcW w:w="1696" w:type="dxa"/>
            <w:tcBorders>
              <w:top w:val="single" w:sz="4" w:space="0" w:color="auto"/>
              <w:left w:val="single" w:sz="4" w:space="0" w:color="auto"/>
              <w:bottom w:val="single" w:sz="4" w:space="0" w:color="auto"/>
              <w:right w:val="single" w:sz="4" w:space="0" w:color="auto"/>
            </w:tcBorders>
            <w:vAlign w:val="center"/>
            <w:hideMark/>
          </w:tcPr>
          <w:p w:rsidR="00F35BCE" w:rsidRDefault="00F35BCE">
            <w:pPr>
              <w:pStyle w:val="ListParagraph"/>
              <w:ind w:left="0"/>
              <w:jc w:val="both"/>
            </w:pPr>
            <w:r>
              <w:rPr>
                <w:rFonts w:eastAsia="Calibri" w:cstheme="minorHAnsi"/>
              </w:rPr>
              <w:t>Nephrology</w:t>
            </w:r>
          </w:p>
        </w:tc>
        <w:tc>
          <w:tcPr>
            <w:tcW w:w="6753" w:type="dxa"/>
            <w:tcBorders>
              <w:top w:val="single" w:sz="4" w:space="0" w:color="auto"/>
              <w:left w:val="single" w:sz="4" w:space="0" w:color="auto"/>
              <w:bottom w:val="single" w:sz="4" w:space="0" w:color="auto"/>
              <w:right w:val="single" w:sz="4" w:space="0" w:color="auto"/>
            </w:tcBorders>
            <w:vAlign w:val="center"/>
            <w:hideMark/>
          </w:tcPr>
          <w:p w:rsidR="00F35BCE" w:rsidRDefault="00F35BCE" w:rsidP="00F35BCE">
            <w:pPr>
              <w:pStyle w:val="ListParagraph"/>
              <w:numPr>
                <w:ilvl w:val="0"/>
                <w:numId w:val="32"/>
              </w:numPr>
              <w:ind w:left="233" w:hanging="233"/>
              <w:rPr>
                <w:rFonts w:cstheme="minorHAnsi"/>
                <w:bCs/>
                <w:lang w:eastAsia="en-SG"/>
              </w:rPr>
            </w:pPr>
            <w:r>
              <w:rPr>
                <w:rFonts w:cstheme="minorHAnsi"/>
                <w:bCs/>
              </w:rPr>
              <w:t>Haemodialysis and peritoneal dialysis patients</w:t>
            </w:r>
          </w:p>
          <w:p w:rsidR="00F35BCE" w:rsidRDefault="00F35BCE" w:rsidP="00F35BCE">
            <w:pPr>
              <w:pStyle w:val="ListParagraph"/>
              <w:numPr>
                <w:ilvl w:val="0"/>
                <w:numId w:val="32"/>
              </w:numPr>
              <w:ind w:left="233" w:hanging="233"/>
              <w:rPr>
                <w:rFonts w:cstheme="minorHAnsi"/>
                <w:bCs/>
                <w:lang w:eastAsia="en-SG"/>
              </w:rPr>
            </w:pPr>
            <w:r>
              <w:rPr>
                <w:rFonts w:cstheme="minorHAnsi"/>
                <w:bCs/>
              </w:rPr>
              <w:t>Transplant patients</w:t>
            </w:r>
          </w:p>
          <w:p w:rsidR="00F35BCE" w:rsidRDefault="00F35BCE" w:rsidP="00F35BCE">
            <w:pPr>
              <w:pStyle w:val="ListParagraph"/>
              <w:numPr>
                <w:ilvl w:val="0"/>
                <w:numId w:val="32"/>
              </w:numPr>
              <w:ind w:left="233" w:hanging="233"/>
              <w:rPr>
                <w:rFonts w:cstheme="minorHAnsi"/>
                <w:bCs/>
                <w:lang w:eastAsia="en-SG"/>
              </w:rPr>
            </w:pPr>
            <w:r>
              <w:rPr>
                <w:rFonts w:cstheme="minorHAnsi"/>
                <w:bCs/>
              </w:rPr>
              <w:t>Complex renal patients with comorbidities</w:t>
            </w:r>
          </w:p>
          <w:p w:rsidR="00F35BCE" w:rsidRDefault="00F35BCE">
            <w:pPr>
              <w:pStyle w:val="ListParagraph"/>
              <w:ind w:left="0"/>
              <w:jc w:val="both"/>
            </w:pPr>
            <w:r>
              <w:rPr>
                <w:rFonts w:cstheme="minorHAnsi"/>
                <w:bCs/>
              </w:rPr>
              <w:t>Patients on immunosuppression</w:t>
            </w:r>
          </w:p>
        </w:tc>
      </w:tr>
      <w:tr w:rsidR="00F35BCE" w:rsidTr="00F35BCE">
        <w:tc>
          <w:tcPr>
            <w:tcW w:w="1696" w:type="dxa"/>
            <w:tcBorders>
              <w:top w:val="single" w:sz="4" w:space="0" w:color="auto"/>
              <w:left w:val="single" w:sz="4" w:space="0" w:color="auto"/>
              <w:bottom w:val="single" w:sz="4" w:space="0" w:color="auto"/>
              <w:right w:val="single" w:sz="4" w:space="0" w:color="auto"/>
            </w:tcBorders>
            <w:vAlign w:val="center"/>
            <w:hideMark/>
          </w:tcPr>
          <w:p w:rsidR="00F35BCE" w:rsidRDefault="00F35BCE">
            <w:pPr>
              <w:pStyle w:val="ListParagraph"/>
              <w:ind w:left="0"/>
              <w:jc w:val="both"/>
            </w:pPr>
            <w:r>
              <w:rPr>
                <w:rFonts w:eastAsia="Calibri" w:cstheme="minorHAnsi"/>
              </w:rPr>
              <w:t>Neurology and Rehabilitation Medicine</w:t>
            </w:r>
          </w:p>
        </w:tc>
        <w:tc>
          <w:tcPr>
            <w:tcW w:w="6753" w:type="dxa"/>
            <w:tcBorders>
              <w:top w:val="single" w:sz="4" w:space="0" w:color="auto"/>
              <w:left w:val="single" w:sz="4" w:space="0" w:color="auto"/>
              <w:bottom w:val="single" w:sz="4" w:space="0" w:color="auto"/>
              <w:right w:val="single" w:sz="4" w:space="0" w:color="auto"/>
            </w:tcBorders>
            <w:vAlign w:val="center"/>
            <w:hideMark/>
          </w:tcPr>
          <w:p w:rsidR="00F35BCE" w:rsidRDefault="00F35BCE" w:rsidP="00F35BCE">
            <w:pPr>
              <w:pStyle w:val="ListParagraph"/>
              <w:numPr>
                <w:ilvl w:val="0"/>
                <w:numId w:val="33"/>
              </w:numPr>
              <w:ind w:left="233" w:hanging="233"/>
              <w:rPr>
                <w:rFonts w:cstheme="minorHAnsi"/>
                <w:lang w:eastAsia="en-SG"/>
              </w:rPr>
            </w:pPr>
            <w:r>
              <w:rPr>
                <w:rFonts w:cstheme="minorHAnsi"/>
                <w:bCs/>
              </w:rPr>
              <w:t>Patients with neuroimmunological conditions</w:t>
            </w:r>
            <w:r>
              <w:rPr>
                <w:rFonts w:cstheme="minorHAnsi"/>
              </w:rPr>
              <w:t xml:space="preserve"> (</w:t>
            </w:r>
            <w:r w:rsidR="00857003">
              <w:rPr>
                <w:rFonts w:cstheme="minorHAnsi"/>
              </w:rPr>
              <w:t>e.g.,</w:t>
            </w:r>
            <w:r>
              <w:rPr>
                <w:rFonts w:cstheme="minorHAnsi"/>
              </w:rPr>
              <w:t xml:space="preserve"> MS, NMOSD, autoimmune encephalitis etc) can be safely vaccinated in community vaccination centres</w:t>
            </w:r>
          </w:p>
          <w:p w:rsidR="00F35BCE" w:rsidRDefault="00F35BCE">
            <w:pPr>
              <w:pStyle w:val="ListParagraph"/>
              <w:ind w:left="0"/>
              <w:jc w:val="both"/>
            </w:pPr>
            <w:r>
              <w:rPr>
                <w:rFonts w:cstheme="minorHAnsi"/>
              </w:rPr>
              <w:t xml:space="preserve">Patients on </w:t>
            </w:r>
            <w:r>
              <w:rPr>
                <w:rFonts w:cstheme="minorHAnsi"/>
                <w:bCs/>
              </w:rPr>
              <w:t xml:space="preserve">immunosuppression should discuss with their </w:t>
            </w:r>
            <w:r>
              <w:rPr>
                <w:rFonts w:cstheme="minorHAnsi"/>
              </w:rPr>
              <w:t>attending physician before COVID-19 vaccination</w:t>
            </w:r>
          </w:p>
        </w:tc>
      </w:tr>
      <w:tr w:rsidR="00F35BCE" w:rsidTr="00F35BCE">
        <w:tc>
          <w:tcPr>
            <w:tcW w:w="1696" w:type="dxa"/>
            <w:tcBorders>
              <w:top w:val="single" w:sz="4" w:space="0" w:color="auto"/>
              <w:left w:val="single" w:sz="4" w:space="0" w:color="auto"/>
              <w:bottom w:val="single" w:sz="4" w:space="0" w:color="auto"/>
              <w:right w:val="single" w:sz="4" w:space="0" w:color="auto"/>
            </w:tcBorders>
            <w:vAlign w:val="center"/>
            <w:hideMark/>
          </w:tcPr>
          <w:p w:rsidR="00F35BCE" w:rsidRDefault="00F35BCE">
            <w:pPr>
              <w:pStyle w:val="ListParagraph"/>
              <w:ind w:left="0"/>
              <w:jc w:val="both"/>
            </w:pPr>
            <w:r>
              <w:rPr>
                <w:rFonts w:eastAsia="Calibri" w:cstheme="minorHAnsi"/>
              </w:rPr>
              <w:t>Oncology</w:t>
            </w:r>
          </w:p>
        </w:tc>
        <w:tc>
          <w:tcPr>
            <w:tcW w:w="6753" w:type="dxa"/>
            <w:tcBorders>
              <w:top w:val="single" w:sz="4" w:space="0" w:color="auto"/>
              <w:left w:val="single" w:sz="4" w:space="0" w:color="auto"/>
              <w:bottom w:val="single" w:sz="4" w:space="0" w:color="auto"/>
              <w:right w:val="single" w:sz="4" w:space="0" w:color="auto"/>
            </w:tcBorders>
            <w:vAlign w:val="center"/>
            <w:hideMark/>
          </w:tcPr>
          <w:p w:rsidR="00F35BCE" w:rsidRDefault="00F35BCE">
            <w:pPr>
              <w:rPr>
                <w:rFonts w:eastAsia="Calibri" w:cstheme="minorHAnsi"/>
              </w:rPr>
            </w:pPr>
            <w:r>
              <w:rPr>
                <w:rFonts w:eastAsia="Calibri" w:cstheme="minorHAnsi"/>
              </w:rPr>
              <w:t>See paras 6.</w:t>
            </w:r>
            <w:r w:rsidR="003D3F7F">
              <w:rPr>
                <w:rFonts w:eastAsia="Calibri" w:cstheme="minorHAnsi"/>
              </w:rPr>
              <w:t>7</w:t>
            </w:r>
            <w:r>
              <w:rPr>
                <w:rFonts w:eastAsia="Calibri" w:cstheme="minorHAnsi"/>
              </w:rPr>
              <w:t xml:space="preserve"> and 6.</w:t>
            </w:r>
            <w:r w:rsidR="003D3F7F">
              <w:rPr>
                <w:rFonts w:eastAsia="Calibri" w:cstheme="minorHAnsi"/>
              </w:rPr>
              <w:t>8</w:t>
            </w:r>
            <w:r>
              <w:rPr>
                <w:rFonts w:eastAsia="Calibri" w:cstheme="minorHAnsi"/>
              </w:rPr>
              <w:t>.</w:t>
            </w:r>
          </w:p>
          <w:p w:rsidR="00F35BCE" w:rsidRDefault="00F35BCE">
            <w:pPr>
              <w:pStyle w:val="ListParagraph"/>
              <w:ind w:left="0"/>
              <w:jc w:val="both"/>
            </w:pPr>
            <w:r>
              <w:rPr>
                <w:rFonts w:eastAsia="Calibri" w:cstheme="minorHAnsi"/>
              </w:rPr>
              <w:t>Patients with stem cell transplants should discuss with their primary specialist before COVID-19 vaccination.</w:t>
            </w:r>
          </w:p>
        </w:tc>
      </w:tr>
      <w:tr w:rsidR="00F35BCE" w:rsidTr="00F35BCE">
        <w:tc>
          <w:tcPr>
            <w:tcW w:w="1696" w:type="dxa"/>
            <w:tcBorders>
              <w:top w:val="single" w:sz="4" w:space="0" w:color="auto"/>
              <w:left w:val="single" w:sz="4" w:space="0" w:color="auto"/>
              <w:bottom w:val="single" w:sz="4" w:space="0" w:color="auto"/>
              <w:right w:val="single" w:sz="4" w:space="0" w:color="auto"/>
            </w:tcBorders>
            <w:vAlign w:val="center"/>
            <w:hideMark/>
          </w:tcPr>
          <w:p w:rsidR="00F35BCE" w:rsidRDefault="00F35BCE">
            <w:pPr>
              <w:pStyle w:val="ListParagraph"/>
              <w:ind w:left="0"/>
              <w:jc w:val="both"/>
            </w:pPr>
            <w:r>
              <w:rPr>
                <w:rFonts w:eastAsia="Calibri" w:cstheme="minorHAnsi"/>
              </w:rPr>
              <w:t>Respiratory</w:t>
            </w:r>
          </w:p>
        </w:tc>
        <w:tc>
          <w:tcPr>
            <w:tcW w:w="6753" w:type="dxa"/>
            <w:tcBorders>
              <w:top w:val="single" w:sz="4" w:space="0" w:color="auto"/>
              <w:left w:val="single" w:sz="4" w:space="0" w:color="auto"/>
              <w:bottom w:val="single" w:sz="4" w:space="0" w:color="auto"/>
              <w:right w:val="single" w:sz="4" w:space="0" w:color="auto"/>
            </w:tcBorders>
            <w:vAlign w:val="center"/>
            <w:hideMark/>
          </w:tcPr>
          <w:p w:rsidR="00F35BCE" w:rsidRDefault="00F35BCE">
            <w:pPr>
              <w:rPr>
                <w:rFonts w:eastAsia="Calibri" w:cstheme="minorHAnsi"/>
              </w:rPr>
            </w:pPr>
            <w:r>
              <w:rPr>
                <w:rFonts w:eastAsia="Calibri" w:cstheme="minorHAnsi"/>
              </w:rPr>
              <w:t>Except for conditions in table 1, all other patients can be safely vaccinated in a community vaccination centre</w:t>
            </w:r>
          </w:p>
          <w:p w:rsidR="00F35BCE" w:rsidRDefault="00F35BCE">
            <w:pPr>
              <w:pStyle w:val="ListParagraph"/>
              <w:ind w:left="0"/>
              <w:jc w:val="both"/>
            </w:pPr>
            <w:r>
              <w:rPr>
                <w:rFonts w:eastAsia="Calibri" w:cstheme="minorHAnsi"/>
              </w:rPr>
              <w:t xml:space="preserve">Cystic fibrosis and other forms of severe bronchiectasis can be vaccinated. </w:t>
            </w:r>
          </w:p>
        </w:tc>
      </w:tr>
      <w:tr w:rsidR="00F35BCE" w:rsidTr="00F35BCE">
        <w:tc>
          <w:tcPr>
            <w:tcW w:w="1696" w:type="dxa"/>
            <w:tcBorders>
              <w:top w:val="single" w:sz="4" w:space="0" w:color="auto"/>
              <w:left w:val="single" w:sz="4" w:space="0" w:color="auto"/>
              <w:bottom w:val="single" w:sz="4" w:space="0" w:color="auto"/>
              <w:right w:val="single" w:sz="4" w:space="0" w:color="auto"/>
            </w:tcBorders>
            <w:vAlign w:val="center"/>
            <w:hideMark/>
          </w:tcPr>
          <w:p w:rsidR="00F35BCE" w:rsidRDefault="00F35BCE">
            <w:pPr>
              <w:pStyle w:val="ListParagraph"/>
              <w:ind w:left="0"/>
              <w:jc w:val="both"/>
            </w:pPr>
            <w:r>
              <w:rPr>
                <w:rFonts w:eastAsia="Calibri" w:cstheme="minorHAnsi"/>
              </w:rPr>
              <w:t>Rheumatology</w:t>
            </w:r>
          </w:p>
        </w:tc>
        <w:tc>
          <w:tcPr>
            <w:tcW w:w="6753" w:type="dxa"/>
            <w:tcBorders>
              <w:top w:val="single" w:sz="4" w:space="0" w:color="auto"/>
              <w:left w:val="single" w:sz="4" w:space="0" w:color="auto"/>
              <w:bottom w:val="single" w:sz="4" w:space="0" w:color="auto"/>
              <w:right w:val="single" w:sz="4" w:space="0" w:color="auto"/>
            </w:tcBorders>
            <w:vAlign w:val="center"/>
            <w:hideMark/>
          </w:tcPr>
          <w:p w:rsidR="00F35BCE" w:rsidRDefault="00F35BCE">
            <w:pPr>
              <w:pStyle w:val="ListParagraph"/>
              <w:ind w:left="0"/>
              <w:jc w:val="both"/>
            </w:pPr>
            <w:r>
              <w:rPr>
                <w:rFonts w:eastAsia="Calibri" w:cstheme="minorHAnsi"/>
              </w:rPr>
              <w:t>Patients on Rituximab should discuss with their primary rheumatologist before COVID-19 vaccination.</w:t>
            </w:r>
          </w:p>
        </w:tc>
      </w:tr>
      <w:tr w:rsidR="00F35BCE" w:rsidTr="00F35BCE">
        <w:tc>
          <w:tcPr>
            <w:tcW w:w="1696" w:type="dxa"/>
            <w:tcBorders>
              <w:top w:val="single" w:sz="4" w:space="0" w:color="auto"/>
              <w:left w:val="single" w:sz="4" w:space="0" w:color="auto"/>
              <w:bottom w:val="single" w:sz="4" w:space="0" w:color="auto"/>
              <w:right w:val="single" w:sz="4" w:space="0" w:color="auto"/>
            </w:tcBorders>
            <w:vAlign w:val="center"/>
            <w:hideMark/>
          </w:tcPr>
          <w:p w:rsidR="00F35BCE" w:rsidRDefault="00F35BCE">
            <w:pPr>
              <w:pStyle w:val="ListParagraph"/>
              <w:ind w:left="0"/>
              <w:jc w:val="both"/>
            </w:pPr>
            <w:r>
              <w:rPr>
                <w:rFonts w:eastAsia="Calibri" w:cstheme="minorHAnsi"/>
              </w:rPr>
              <w:t>Cardiothoracic and Vascular Surgery</w:t>
            </w:r>
          </w:p>
        </w:tc>
        <w:tc>
          <w:tcPr>
            <w:tcW w:w="6753" w:type="dxa"/>
            <w:tcBorders>
              <w:top w:val="single" w:sz="4" w:space="0" w:color="auto"/>
              <w:left w:val="single" w:sz="4" w:space="0" w:color="auto"/>
              <w:bottom w:val="single" w:sz="4" w:space="0" w:color="auto"/>
              <w:right w:val="single" w:sz="4" w:space="0" w:color="auto"/>
            </w:tcBorders>
            <w:vAlign w:val="center"/>
            <w:hideMark/>
          </w:tcPr>
          <w:p w:rsidR="00F35BCE" w:rsidRDefault="00F35BCE">
            <w:pPr>
              <w:pStyle w:val="ListParagraph"/>
              <w:ind w:left="0"/>
              <w:jc w:val="both"/>
            </w:pPr>
            <w:r>
              <w:rPr>
                <w:rFonts w:eastAsia="Calibri" w:cstheme="minorHAnsi"/>
              </w:rPr>
              <w:t>Safe to vaccinate in a community vaccination centre.</w:t>
            </w:r>
          </w:p>
        </w:tc>
      </w:tr>
      <w:tr w:rsidR="00F35BCE" w:rsidTr="00F35BCE">
        <w:tc>
          <w:tcPr>
            <w:tcW w:w="1696" w:type="dxa"/>
            <w:tcBorders>
              <w:top w:val="single" w:sz="4" w:space="0" w:color="auto"/>
              <w:left w:val="single" w:sz="4" w:space="0" w:color="auto"/>
              <w:bottom w:val="single" w:sz="4" w:space="0" w:color="auto"/>
              <w:right w:val="single" w:sz="4" w:space="0" w:color="auto"/>
            </w:tcBorders>
            <w:vAlign w:val="center"/>
            <w:hideMark/>
          </w:tcPr>
          <w:p w:rsidR="00F35BCE" w:rsidRDefault="00F35BCE">
            <w:pPr>
              <w:pStyle w:val="ListParagraph"/>
              <w:ind w:left="0"/>
              <w:jc w:val="both"/>
            </w:pPr>
            <w:r>
              <w:rPr>
                <w:rFonts w:eastAsia="Calibri" w:cstheme="minorHAnsi"/>
              </w:rPr>
              <w:t>Psychological Medicine</w:t>
            </w:r>
          </w:p>
        </w:tc>
        <w:tc>
          <w:tcPr>
            <w:tcW w:w="6753" w:type="dxa"/>
            <w:tcBorders>
              <w:top w:val="single" w:sz="4" w:space="0" w:color="auto"/>
              <w:left w:val="single" w:sz="4" w:space="0" w:color="auto"/>
              <w:bottom w:val="single" w:sz="4" w:space="0" w:color="auto"/>
              <w:right w:val="single" w:sz="4" w:space="0" w:color="auto"/>
            </w:tcBorders>
            <w:vAlign w:val="center"/>
            <w:hideMark/>
          </w:tcPr>
          <w:p w:rsidR="00F35BCE" w:rsidRDefault="00F35BCE">
            <w:pPr>
              <w:pStyle w:val="ListParagraph"/>
              <w:ind w:left="0"/>
              <w:jc w:val="both"/>
            </w:pPr>
            <w:r>
              <w:rPr>
                <w:rFonts w:eastAsia="Calibri" w:cstheme="minorHAnsi"/>
              </w:rPr>
              <w:t>Safe to vaccinate in a community vaccination centre.</w:t>
            </w:r>
          </w:p>
        </w:tc>
      </w:tr>
    </w:tbl>
    <w:p w:rsidR="00F35BCE" w:rsidRDefault="00F35BCE" w:rsidP="00F35BCE">
      <w:pPr>
        <w:jc w:val="both"/>
      </w:pPr>
    </w:p>
    <w:p w:rsidR="00F35BCE" w:rsidRDefault="00F35BCE" w:rsidP="00F35BCE">
      <w:pPr>
        <w:pStyle w:val="ListParagraph"/>
        <w:numPr>
          <w:ilvl w:val="1"/>
          <w:numId w:val="26"/>
        </w:numPr>
        <w:jc w:val="both"/>
      </w:pPr>
      <w:r>
        <w:t xml:space="preserve">It is safe for clients currently on cancer treatment (chemotherapy / immunotherapy / radiotherapy) to be vaccinated. However, they may be advised to consult their oncologist on the optimal timing, weighing better vaccine effectiveness against the risks of delay in view of their vulnerability to COVID-19 infection. </w:t>
      </w:r>
    </w:p>
    <w:p w:rsidR="00F35BCE" w:rsidRDefault="00F35BCE" w:rsidP="00F35BCE">
      <w:pPr>
        <w:jc w:val="both"/>
      </w:pPr>
    </w:p>
    <w:p w:rsidR="00F35BCE" w:rsidRDefault="00F35BCE" w:rsidP="00F35BCE">
      <w:pPr>
        <w:pStyle w:val="ListParagraph"/>
        <w:numPr>
          <w:ilvl w:val="1"/>
          <w:numId w:val="26"/>
        </w:numPr>
        <w:jc w:val="both"/>
      </w:pPr>
      <w:r>
        <w:t xml:space="preserve">Clients with cancer who have not been on chemotherapy / immunotherapy / radiotherapy for the past 3 months can be vaccinated. This includes clients currently on hormonal therapy. Hormonal therapy is not considered chemotherapy or immunotherapy. There is no need for a memo from the oncologist.  </w:t>
      </w:r>
    </w:p>
    <w:p w:rsidR="00F35BCE" w:rsidRDefault="00F35BCE" w:rsidP="00F35BCE">
      <w:pPr>
        <w:pStyle w:val="ListParagraph"/>
        <w:ind w:left="567"/>
        <w:jc w:val="both"/>
      </w:pPr>
    </w:p>
    <w:p w:rsidR="00F35BCE" w:rsidRDefault="00F35BCE" w:rsidP="00F35BCE">
      <w:pPr>
        <w:pStyle w:val="ListParagraph"/>
        <w:numPr>
          <w:ilvl w:val="1"/>
          <w:numId w:val="26"/>
        </w:numPr>
        <w:jc w:val="both"/>
      </w:pPr>
      <w:r>
        <w:t xml:space="preserve">There may be instances where Community Vaccination Centres may refer clients for vaccination at a hospital in-situ vaccination site for non-medical reasons, for example, unwillingness to be vaccinated at a Community Vaccination Centre due to heightened parental concerns over their client’s pre-existing medical condition, or clients who are uncooperative in a community vaccination centre setting. In such instances, it should be emphasised to parents that this referral is specifically for COVID-19 vaccination and there is no scheduled review with any paediatrician at the hospital’s in-situ vaccination site on the day of the vaccination. </w:t>
      </w:r>
    </w:p>
    <w:p w:rsidR="00F35BCE" w:rsidRDefault="00F35BCE" w:rsidP="00F35BCE">
      <w:pPr>
        <w:jc w:val="both"/>
      </w:pPr>
    </w:p>
    <w:p w:rsidR="00F35BCE" w:rsidRDefault="00F35BCE" w:rsidP="00F35BCE">
      <w:pPr>
        <w:pStyle w:val="ListParagraph"/>
        <w:numPr>
          <w:ilvl w:val="1"/>
          <w:numId w:val="26"/>
        </w:numPr>
        <w:jc w:val="both"/>
        <w:rPr>
          <w:rFonts w:cs="Arial"/>
        </w:rPr>
      </w:pPr>
      <w:r>
        <w:t>MOH has provided clinical</w:t>
      </w:r>
      <w:r>
        <w:rPr>
          <w:rFonts w:cs="Arial"/>
        </w:rPr>
        <w:t xml:space="preserve"> guidance materials to support personnel who are carrying out the vaccinations. Personnel who are carrying out vaccinations should ensure that they are familiar with the materials before carrying out vaccinations. </w:t>
      </w:r>
    </w:p>
    <w:p w:rsidR="00F35BCE" w:rsidRDefault="00F35BCE" w:rsidP="00F35BCE">
      <w:pPr>
        <w:ind w:left="567"/>
        <w:jc w:val="both"/>
        <w:rPr>
          <w:rFonts w:cs="Arial"/>
        </w:rPr>
      </w:pPr>
    </w:p>
    <w:tbl>
      <w:tblPr>
        <w:tblStyle w:val="TableGrid"/>
        <w:tblW w:w="0" w:type="auto"/>
        <w:tblInd w:w="567" w:type="dxa"/>
        <w:tblLook w:val="04A0" w:firstRow="1" w:lastRow="0" w:firstColumn="1" w:lastColumn="0" w:noHBand="0" w:noVBand="1"/>
      </w:tblPr>
      <w:tblGrid>
        <w:gridCol w:w="2405"/>
        <w:gridCol w:w="2693"/>
        <w:gridCol w:w="3351"/>
      </w:tblGrid>
      <w:tr w:rsidR="00F35BCE" w:rsidTr="00D24A82">
        <w:tc>
          <w:tcPr>
            <w:tcW w:w="2405" w:type="dxa"/>
            <w:tcBorders>
              <w:top w:val="single" w:sz="4" w:space="0" w:color="auto"/>
              <w:left w:val="single" w:sz="4" w:space="0" w:color="auto"/>
              <w:bottom w:val="single" w:sz="4" w:space="0" w:color="auto"/>
              <w:right w:val="single" w:sz="4" w:space="0" w:color="auto"/>
            </w:tcBorders>
            <w:hideMark/>
          </w:tcPr>
          <w:p w:rsidR="00F35BCE" w:rsidRDefault="00F35BCE">
            <w:pPr>
              <w:jc w:val="both"/>
              <w:rPr>
                <w:rFonts w:cs="Arial"/>
                <w:b/>
                <w:bCs/>
              </w:rPr>
            </w:pPr>
            <w:r>
              <w:rPr>
                <w:rFonts w:cs="Arial"/>
                <w:b/>
                <w:bCs/>
              </w:rPr>
              <w:t>Document</w:t>
            </w:r>
          </w:p>
        </w:tc>
        <w:tc>
          <w:tcPr>
            <w:tcW w:w="2693" w:type="dxa"/>
            <w:tcBorders>
              <w:top w:val="single" w:sz="4" w:space="0" w:color="auto"/>
              <w:left w:val="single" w:sz="4" w:space="0" w:color="auto"/>
              <w:bottom w:val="single" w:sz="4" w:space="0" w:color="auto"/>
              <w:right w:val="single" w:sz="4" w:space="0" w:color="auto"/>
            </w:tcBorders>
            <w:hideMark/>
          </w:tcPr>
          <w:p w:rsidR="00F35BCE" w:rsidRDefault="00F35BCE">
            <w:pPr>
              <w:jc w:val="both"/>
              <w:rPr>
                <w:rFonts w:cs="Arial"/>
                <w:b/>
                <w:bCs/>
              </w:rPr>
            </w:pPr>
            <w:r>
              <w:rPr>
                <w:rFonts w:cs="Arial"/>
                <w:b/>
                <w:bCs/>
              </w:rPr>
              <w:t>Purpose of document</w:t>
            </w:r>
          </w:p>
        </w:tc>
        <w:tc>
          <w:tcPr>
            <w:tcW w:w="3351" w:type="dxa"/>
            <w:tcBorders>
              <w:top w:val="single" w:sz="4" w:space="0" w:color="auto"/>
              <w:left w:val="single" w:sz="4" w:space="0" w:color="auto"/>
              <w:bottom w:val="single" w:sz="4" w:space="0" w:color="auto"/>
              <w:right w:val="single" w:sz="4" w:space="0" w:color="auto"/>
            </w:tcBorders>
            <w:hideMark/>
          </w:tcPr>
          <w:p w:rsidR="00F35BCE" w:rsidRDefault="00F35BCE">
            <w:pPr>
              <w:jc w:val="both"/>
              <w:rPr>
                <w:rFonts w:cs="Arial"/>
                <w:b/>
                <w:bCs/>
              </w:rPr>
            </w:pPr>
            <w:r w:rsidRPr="00D24A82">
              <w:rPr>
                <w:rFonts w:cs="Arial"/>
                <w:b/>
                <w:bCs/>
                <w:highlight w:val="yellow"/>
              </w:rPr>
              <w:t>Attachment</w:t>
            </w:r>
          </w:p>
        </w:tc>
      </w:tr>
      <w:tr w:rsidR="00F35BCE" w:rsidTr="00D24A82">
        <w:tc>
          <w:tcPr>
            <w:tcW w:w="2405" w:type="dxa"/>
            <w:tcBorders>
              <w:top w:val="single" w:sz="4" w:space="0" w:color="auto"/>
              <w:left w:val="single" w:sz="4" w:space="0" w:color="auto"/>
              <w:bottom w:val="single" w:sz="4" w:space="0" w:color="auto"/>
              <w:right w:val="single" w:sz="4" w:space="0" w:color="auto"/>
            </w:tcBorders>
          </w:tcPr>
          <w:p w:rsidR="00F35BCE" w:rsidRDefault="00F35BCE">
            <w:r>
              <w:t>Guidance for Vaccination Providers</w:t>
            </w:r>
          </w:p>
          <w:p w:rsidR="00F35BCE" w:rsidRDefault="00F35BCE">
            <w:r>
              <w:t>(Annex A)</w:t>
            </w:r>
          </w:p>
          <w:p w:rsidR="00F35BCE" w:rsidRDefault="00F35BCE"/>
          <w:p w:rsidR="00F35BCE" w:rsidRDefault="00F35BCE"/>
          <w:p w:rsidR="00F35BCE" w:rsidRDefault="00F35BCE"/>
          <w:p w:rsidR="00F35BCE" w:rsidRDefault="00F35BCE"/>
          <w:p w:rsidR="00F35BCE" w:rsidRDefault="00F35BCE">
            <w:pPr>
              <w:rPr>
                <w:rFonts w:cs="Arial"/>
              </w:rPr>
            </w:pPr>
          </w:p>
        </w:tc>
        <w:tc>
          <w:tcPr>
            <w:tcW w:w="2693" w:type="dxa"/>
            <w:tcBorders>
              <w:top w:val="single" w:sz="4" w:space="0" w:color="auto"/>
              <w:left w:val="single" w:sz="4" w:space="0" w:color="auto"/>
              <w:bottom w:val="single" w:sz="4" w:space="0" w:color="auto"/>
              <w:right w:val="single" w:sz="4" w:space="0" w:color="auto"/>
            </w:tcBorders>
          </w:tcPr>
          <w:p w:rsidR="00F35BCE" w:rsidRDefault="00F35BCE">
            <w:r>
              <w:t>Guidance to vaccination providers and vaccinators</w:t>
            </w:r>
          </w:p>
          <w:p w:rsidR="00F35BCE" w:rsidRDefault="00F35BCE">
            <w:pPr>
              <w:rPr>
                <w:strike/>
              </w:rPr>
            </w:pPr>
          </w:p>
          <w:p w:rsidR="00F35BCE" w:rsidRDefault="00F35BCE">
            <w:pPr>
              <w:rPr>
                <w:strike/>
              </w:rPr>
            </w:pPr>
          </w:p>
          <w:p w:rsidR="00F35BCE" w:rsidRDefault="00F35BCE">
            <w:pPr>
              <w:rPr>
                <w:strike/>
              </w:rPr>
            </w:pPr>
          </w:p>
          <w:p w:rsidR="00F35BCE" w:rsidRDefault="00F35BCE">
            <w:pPr>
              <w:rPr>
                <w:strike/>
              </w:rPr>
            </w:pPr>
          </w:p>
          <w:p w:rsidR="00F35BCE" w:rsidRDefault="00F35BCE">
            <w:pPr>
              <w:rPr>
                <w:strike/>
              </w:rPr>
            </w:pPr>
          </w:p>
          <w:p w:rsidR="00F35BCE" w:rsidRDefault="00F35BCE">
            <w:pPr>
              <w:rPr>
                <w:rFonts w:cs="Arial"/>
              </w:rPr>
            </w:pPr>
          </w:p>
        </w:tc>
        <w:bookmarkStart w:id="6" w:name="_MON_1770470070"/>
        <w:bookmarkEnd w:id="6"/>
        <w:tc>
          <w:tcPr>
            <w:tcW w:w="3351" w:type="dxa"/>
            <w:tcBorders>
              <w:top w:val="single" w:sz="4" w:space="0" w:color="auto"/>
              <w:left w:val="single" w:sz="4" w:space="0" w:color="auto"/>
              <w:bottom w:val="single" w:sz="4" w:space="0" w:color="auto"/>
              <w:right w:val="single" w:sz="4" w:space="0" w:color="auto"/>
            </w:tcBorders>
            <w:hideMark/>
          </w:tcPr>
          <w:p w:rsidR="00794FF8" w:rsidRDefault="0076085D" w:rsidP="00857003">
            <w:r>
              <w:object w:dxaOrig="1508" w:dyaOrig="983" w14:anchorId="15304A90">
                <v:shape id="_x0000_i1026" type="#_x0000_t75" style="width:76pt;height:49.5pt" o:ole="">
                  <v:imagedata r:id="rId12" o:title=""/>
                </v:shape>
                <o:OLEObject Type="Embed" ProgID="Word.Document.12" ShapeID="_x0000_i1026" DrawAspect="Icon" ObjectID="_1783446642" r:id="rId13">
                  <o:FieldCodes>\s</o:FieldCodes>
                </o:OLEObject>
              </w:object>
            </w:r>
          </w:p>
          <w:p w:rsidR="003D3F7F" w:rsidRDefault="00ED3F73" w:rsidP="00857003">
            <w:r>
              <w:object w:dxaOrig="1508" w:dyaOrig="983" w14:anchorId="215BC93B">
                <v:shape id="_x0000_i1027" type="#_x0000_t75" style="width:76pt;height:49pt" o:ole="">
                  <v:imagedata r:id="rId14" o:title=""/>
                </v:shape>
                <o:OLEObject Type="Embed" ProgID="AcroExch.Document.DC" ShapeID="_x0000_i1027" DrawAspect="Icon" ObjectID="_1783446643" r:id="rId15"/>
              </w:object>
            </w:r>
            <w:r w:rsidR="00396C76">
              <w:object w:dxaOrig="1508" w:dyaOrig="983" w14:anchorId="19C53F45">
                <v:shape id="_x0000_i1028" type="#_x0000_t75" style="width:76pt;height:49.5pt" o:ole="">
                  <v:imagedata r:id="rId16" o:title=""/>
                </v:shape>
                <o:OLEObject Type="Embed" ProgID="AcroExch.Document.DC" ShapeID="_x0000_i1028" DrawAspect="Icon" ObjectID="_1783446644" r:id="rId17"/>
              </w:object>
            </w:r>
          </w:p>
        </w:tc>
      </w:tr>
    </w:tbl>
    <w:p w:rsidR="00F35BCE" w:rsidRDefault="00F35BCE" w:rsidP="00F35BCE">
      <w:pPr>
        <w:jc w:val="both"/>
      </w:pPr>
    </w:p>
    <w:p w:rsidR="006F53B8" w:rsidRDefault="006F53B8" w:rsidP="00F35BCE">
      <w:pPr>
        <w:ind w:firstLine="567"/>
        <w:jc w:val="both"/>
        <w:rPr>
          <w:b/>
          <w:bCs/>
        </w:rPr>
      </w:pPr>
    </w:p>
    <w:p w:rsidR="00F35BCE" w:rsidRDefault="00F35BCE" w:rsidP="00F35BCE">
      <w:pPr>
        <w:ind w:firstLine="567"/>
        <w:jc w:val="both"/>
        <w:rPr>
          <w:b/>
          <w:bCs/>
        </w:rPr>
      </w:pPr>
      <w:r>
        <w:rPr>
          <w:b/>
          <w:bCs/>
        </w:rPr>
        <w:t>COVID-19 Recovered Persons</w:t>
      </w:r>
    </w:p>
    <w:p w:rsidR="00F35BCE" w:rsidRDefault="00F35BCE" w:rsidP="00F35BCE">
      <w:pPr>
        <w:pStyle w:val="ListParagraph"/>
        <w:ind w:left="567"/>
        <w:jc w:val="both"/>
      </w:pPr>
    </w:p>
    <w:p w:rsidR="003D3F7F" w:rsidRDefault="003D3F7F" w:rsidP="003D3F7F">
      <w:pPr>
        <w:pStyle w:val="ListParagraph"/>
        <w:numPr>
          <w:ilvl w:val="1"/>
          <w:numId w:val="26"/>
        </w:numPr>
        <w:jc w:val="both"/>
      </w:pPr>
      <w:r w:rsidRPr="00CB7967">
        <w:t>Recovered persons who were unvaccinated, or partially vaccinated before their infection</w:t>
      </w:r>
      <w:r w:rsidRPr="003D3F7F">
        <w:t xml:space="preserve"> </w:t>
      </w:r>
      <w:r w:rsidRPr="008313CA">
        <w:t xml:space="preserve">can proceed to complete the standard primary vaccination series. They are recommended to receive remaining vaccine doses from 3 months or more after the date of infection to reduce their risk of reinfection. </w:t>
      </w:r>
    </w:p>
    <w:p w:rsidR="003D3F7F" w:rsidRPr="008313CA" w:rsidRDefault="003D3F7F" w:rsidP="003D3F7F">
      <w:pPr>
        <w:pStyle w:val="ListParagraph"/>
        <w:ind w:left="567"/>
        <w:jc w:val="both"/>
      </w:pPr>
    </w:p>
    <w:p w:rsidR="003D3F7F" w:rsidRDefault="003D3F7F" w:rsidP="003D3F7F">
      <w:pPr>
        <w:pStyle w:val="ListParagraph"/>
        <w:numPr>
          <w:ilvl w:val="1"/>
          <w:numId w:val="26"/>
        </w:numPr>
        <w:jc w:val="both"/>
      </w:pPr>
      <w:r w:rsidRPr="00CB7967">
        <w:t>Recovered persons who</w:t>
      </w:r>
      <w:r w:rsidRPr="003D3F7F">
        <w:t xml:space="preserve"> </w:t>
      </w:r>
      <w:r>
        <w:t xml:space="preserve">are recommended to receive a COVID-19 vaccine dose after their last vaccine dose should do so at the recommended interval thereafter, and at least </w:t>
      </w:r>
      <w:r w:rsidRPr="003D3F7F">
        <w:t xml:space="preserve">28 days </w:t>
      </w:r>
      <w:r>
        <w:t xml:space="preserve">after the infection although an interval of three months from the infection is recommended for better effectiveness. </w:t>
      </w:r>
    </w:p>
    <w:p w:rsidR="00F35BCE" w:rsidRDefault="00F35BCE" w:rsidP="00F35BCE"/>
    <w:p w:rsidR="006F53B8" w:rsidRDefault="006F53B8" w:rsidP="00F35BCE"/>
    <w:p w:rsidR="00F35BCE" w:rsidRDefault="00F35BCE" w:rsidP="00F35BCE">
      <w:pPr>
        <w:pStyle w:val="Heading1"/>
        <w:spacing w:before="0"/>
        <w:jc w:val="both"/>
        <w:rPr>
          <w:sz w:val="22"/>
          <w:szCs w:val="22"/>
        </w:rPr>
      </w:pPr>
      <w:r>
        <w:rPr>
          <w:sz w:val="22"/>
          <w:szCs w:val="22"/>
        </w:rPr>
        <w:t>Operations</w:t>
      </w:r>
    </w:p>
    <w:p w:rsidR="00F35BCE" w:rsidRDefault="00F35BCE" w:rsidP="00F35BCE">
      <w:pPr>
        <w:jc w:val="both"/>
      </w:pPr>
    </w:p>
    <w:p w:rsidR="00F35BCE" w:rsidRDefault="00F35BCE" w:rsidP="00F35BCE">
      <w:pPr>
        <w:ind w:firstLine="567"/>
        <w:jc w:val="both"/>
        <w:rPr>
          <w:b/>
          <w:bCs/>
        </w:rPr>
      </w:pPr>
      <w:r>
        <w:rPr>
          <w:b/>
          <w:bCs/>
        </w:rPr>
        <w:t xml:space="preserve">Parent Consent for Vaccination </w:t>
      </w:r>
    </w:p>
    <w:p w:rsidR="00F35BCE" w:rsidRDefault="00F35BCE" w:rsidP="00F35BCE">
      <w:pPr>
        <w:jc w:val="both"/>
        <w:rPr>
          <w:rFonts w:cs="Arial"/>
          <w:vanish/>
        </w:rPr>
      </w:pPr>
    </w:p>
    <w:p w:rsidR="00F35BCE" w:rsidRDefault="00F35BCE" w:rsidP="00F35BCE">
      <w:pPr>
        <w:jc w:val="both"/>
      </w:pPr>
    </w:p>
    <w:p w:rsidR="00F35BCE" w:rsidRDefault="00F35BCE" w:rsidP="00F35BCE">
      <w:pPr>
        <w:pStyle w:val="ListParagraph"/>
        <w:numPr>
          <w:ilvl w:val="0"/>
          <w:numId w:val="35"/>
        </w:numPr>
        <w:jc w:val="both"/>
        <w:rPr>
          <w:vanish/>
          <w:color w:val="FF0000"/>
        </w:rPr>
      </w:pPr>
    </w:p>
    <w:p w:rsidR="00F35BCE" w:rsidRDefault="00F35BCE" w:rsidP="00F35BCE">
      <w:pPr>
        <w:pStyle w:val="ListParagraph"/>
        <w:numPr>
          <w:ilvl w:val="0"/>
          <w:numId w:val="26"/>
        </w:numPr>
        <w:jc w:val="both"/>
        <w:rPr>
          <w:rFonts w:cs="Arial"/>
          <w:vanish/>
        </w:rPr>
      </w:pPr>
    </w:p>
    <w:p w:rsidR="00F35BCE" w:rsidRPr="00CB009E" w:rsidRDefault="00F35BCE" w:rsidP="00CB009E">
      <w:pPr>
        <w:pStyle w:val="ListParagraph"/>
        <w:numPr>
          <w:ilvl w:val="1"/>
          <w:numId w:val="26"/>
        </w:numPr>
        <w:ind w:right="-46"/>
        <w:jc w:val="both"/>
        <w:rPr>
          <w:rFonts w:cs="Arial"/>
        </w:rPr>
      </w:pPr>
      <w:r>
        <w:rPr>
          <w:rFonts w:cs="Arial"/>
        </w:rPr>
        <w:t>Persons below 13 years old are required to have the consent of their parent or legal guardian in order to be administered the vaccine. The parent or legal guardian must also be present on the vaccination day.</w:t>
      </w:r>
    </w:p>
    <w:p w:rsidR="00F35BCE" w:rsidRDefault="00F35BCE" w:rsidP="00F35BCE">
      <w:pPr>
        <w:jc w:val="both"/>
        <w:rPr>
          <w:rFonts w:cs="Arial"/>
          <w:b/>
          <w:bCs/>
        </w:rPr>
      </w:pPr>
      <w:bookmarkStart w:id="7" w:name="_Hlk115969351"/>
      <w:bookmarkStart w:id="8" w:name="_Hlk75263151"/>
    </w:p>
    <w:p w:rsidR="00F35BCE" w:rsidRDefault="00F35BCE" w:rsidP="00F35BCE">
      <w:pPr>
        <w:ind w:left="567"/>
        <w:jc w:val="both"/>
        <w:rPr>
          <w:b/>
          <w:bCs/>
        </w:rPr>
      </w:pPr>
      <w:r>
        <w:rPr>
          <w:b/>
          <w:bCs/>
        </w:rPr>
        <w:t>Requirements on Granting of Consent and Consent Verification (including in person parent/guardian presence)</w:t>
      </w:r>
    </w:p>
    <w:bookmarkEnd w:id="7"/>
    <w:p w:rsidR="00F35BCE" w:rsidRDefault="00F35BCE" w:rsidP="00F35BCE">
      <w:pPr>
        <w:jc w:val="both"/>
        <w:rPr>
          <w:b/>
          <w:bCs/>
        </w:rPr>
      </w:pPr>
    </w:p>
    <w:p w:rsidR="00F35BCE" w:rsidRDefault="00F35BCE" w:rsidP="00F35BCE">
      <w:pPr>
        <w:pStyle w:val="ListParagraph"/>
        <w:numPr>
          <w:ilvl w:val="1"/>
          <w:numId w:val="26"/>
        </w:numPr>
        <w:ind w:right="-46"/>
        <w:jc w:val="both"/>
        <w:rPr>
          <w:rFonts w:cs="Arial"/>
        </w:rPr>
      </w:pPr>
      <w:r>
        <w:rPr>
          <w:rFonts w:cs="Arial"/>
        </w:rPr>
        <w:t xml:space="preserve">The </w:t>
      </w:r>
      <w:r w:rsidRPr="00D24A82">
        <w:rPr>
          <w:rFonts w:cs="Arial"/>
        </w:rPr>
        <w:t>Vaccination Providers</w:t>
      </w:r>
      <w:r>
        <w:rPr>
          <w:rFonts w:cs="Arial"/>
        </w:rPr>
        <w:t xml:space="preserve"> will verify the following before administering the vaccine   to the client: </w:t>
      </w:r>
    </w:p>
    <w:p w:rsidR="00F35BCE" w:rsidRDefault="00F35BCE" w:rsidP="00F35BCE">
      <w:pPr>
        <w:pStyle w:val="ListParagraph"/>
        <w:ind w:left="567"/>
        <w:jc w:val="both"/>
        <w:rPr>
          <w:b/>
          <w:bCs/>
        </w:rPr>
      </w:pPr>
    </w:p>
    <w:p w:rsidR="00F35BCE" w:rsidRDefault="00F35BCE" w:rsidP="00F35BCE">
      <w:pPr>
        <w:pStyle w:val="ListParagraph"/>
        <w:numPr>
          <w:ilvl w:val="1"/>
          <w:numId w:val="37"/>
        </w:numPr>
        <w:ind w:left="684" w:hanging="457"/>
        <w:jc w:val="both"/>
        <w:rPr>
          <w:vanish/>
        </w:rPr>
      </w:pPr>
    </w:p>
    <w:p w:rsidR="00F35BCE" w:rsidRPr="00D24A82" w:rsidRDefault="00F35BCE" w:rsidP="00F35BCE">
      <w:pPr>
        <w:pStyle w:val="ListParagraph"/>
        <w:numPr>
          <w:ilvl w:val="0"/>
          <w:numId w:val="38"/>
        </w:numPr>
        <w:jc w:val="both"/>
      </w:pPr>
      <w:r>
        <w:rPr>
          <w:b/>
          <w:bCs/>
          <w:u w:val="single"/>
        </w:rPr>
        <w:t>HAS Appointment</w:t>
      </w:r>
      <w:r>
        <w:t xml:space="preserve">. Verify the HAS appointment status of the client to ensure that he/she has a valid appointment booked for the timeslot when present. If there is a valid HAS appointment, consent was given at the point the appointment was made and there is no need for written consent. If the client does not have any valid appointments, </w:t>
      </w:r>
      <w:r w:rsidRPr="00D24A82">
        <w:rPr>
          <w:rFonts w:cs="Arial"/>
        </w:rPr>
        <w:t xml:space="preserve">Vaccination Providers shall facilitate the client’s vaccination on site and that consent has been </w:t>
      </w:r>
      <w:r w:rsidR="003D3F7F" w:rsidRPr="00D24A82">
        <w:t>obtained</w:t>
      </w:r>
      <w:r w:rsidR="003D3F7F" w:rsidRPr="00D24A82">
        <w:rPr>
          <w:rFonts w:cs="Arial"/>
        </w:rPr>
        <w:t>.</w:t>
      </w:r>
      <w:r w:rsidRPr="00D24A82">
        <w:rPr>
          <w:rFonts w:cs="Arial"/>
        </w:rPr>
        <w:t xml:space="preserve"> </w:t>
      </w:r>
    </w:p>
    <w:p w:rsidR="00F35BCE" w:rsidRPr="00D24A82" w:rsidRDefault="00F35BCE" w:rsidP="00F35BCE">
      <w:pPr>
        <w:pStyle w:val="ListParagraph"/>
        <w:ind w:left="927"/>
        <w:jc w:val="both"/>
      </w:pPr>
    </w:p>
    <w:p w:rsidR="00F35BCE" w:rsidRPr="00D24A82" w:rsidRDefault="00F35BCE" w:rsidP="00F35BCE">
      <w:pPr>
        <w:pStyle w:val="ListParagraph"/>
        <w:numPr>
          <w:ilvl w:val="0"/>
          <w:numId w:val="38"/>
        </w:numPr>
        <w:jc w:val="both"/>
      </w:pPr>
      <w:r w:rsidRPr="00D24A82">
        <w:t>Verify the identification document of the client to ensure that he/she is the correct person for whom the parent/legal guardian had booked the vaccination appointment.</w:t>
      </w:r>
    </w:p>
    <w:p w:rsidR="00F35BCE" w:rsidRPr="00D24A82" w:rsidRDefault="00F35BCE" w:rsidP="00F35BCE">
      <w:pPr>
        <w:pStyle w:val="ListParagraph"/>
        <w:ind w:left="927"/>
        <w:jc w:val="both"/>
      </w:pPr>
    </w:p>
    <w:p w:rsidR="00F35BCE" w:rsidRDefault="00F35BCE" w:rsidP="00F35BCE">
      <w:pPr>
        <w:pStyle w:val="ListParagraph"/>
        <w:numPr>
          <w:ilvl w:val="0"/>
          <w:numId w:val="38"/>
        </w:numPr>
        <w:jc w:val="both"/>
      </w:pPr>
      <w:r w:rsidRPr="00D24A82">
        <w:t xml:space="preserve">Clients who present the MOE EZ-link as their form of identification document shall be recognized as MOE students. </w:t>
      </w:r>
      <w:r w:rsidRPr="00D24A82">
        <w:rPr>
          <w:rFonts w:cs="Arial"/>
        </w:rPr>
        <w:t>Vaccination Providers</w:t>
      </w:r>
      <w:r>
        <w:rPr>
          <w:rFonts w:cs="Arial"/>
        </w:rPr>
        <w:t xml:space="preserve"> </w:t>
      </w:r>
      <w:r>
        <w:t xml:space="preserve">shall record the accompanying adult’s relationship with the client in </w:t>
      </w:r>
      <w:r>
        <w:rPr>
          <w:bCs/>
        </w:rPr>
        <w:t>GPConnect-lite</w:t>
      </w:r>
      <w:r>
        <w:t>.</w:t>
      </w:r>
    </w:p>
    <w:p w:rsidR="00F35BCE" w:rsidRDefault="00F35BCE" w:rsidP="00F35BCE">
      <w:pPr>
        <w:jc w:val="both"/>
      </w:pPr>
    </w:p>
    <w:tbl>
      <w:tblPr>
        <w:tblStyle w:val="TableGrid1"/>
        <w:tblW w:w="0" w:type="auto"/>
        <w:tblInd w:w="967" w:type="dxa"/>
        <w:tblLayout w:type="fixed"/>
        <w:tblLook w:val="04A0" w:firstRow="1" w:lastRow="0" w:firstColumn="1" w:lastColumn="0" w:noHBand="0" w:noVBand="1"/>
      </w:tblPr>
      <w:tblGrid>
        <w:gridCol w:w="4499"/>
        <w:gridCol w:w="3004"/>
      </w:tblGrid>
      <w:tr w:rsidR="00F35BCE" w:rsidTr="00F35BCE">
        <w:trPr>
          <w:trHeight w:val="1665"/>
        </w:trPr>
        <w:tc>
          <w:tcPr>
            <w:tcW w:w="4499" w:type="dxa"/>
            <w:tcBorders>
              <w:top w:val="single" w:sz="4" w:space="0" w:color="auto"/>
              <w:left w:val="single" w:sz="4" w:space="0" w:color="auto"/>
              <w:bottom w:val="single" w:sz="4" w:space="0" w:color="auto"/>
              <w:right w:val="single" w:sz="4" w:space="0" w:color="auto"/>
            </w:tcBorders>
          </w:tcPr>
          <w:p w:rsidR="00F35BCE" w:rsidRDefault="00F35BCE">
            <w:pPr>
              <w:jc w:val="both"/>
            </w:pPr>
            <w:r>
              <w:t>Specimen screenshot of MOE EZ-link card</w:t>
            </w:r>
          </w:p>
          <w:p w:rsidR="00F35BCE" w:rsidRDefault="00F35BCE">
            <w:pPr>
              <w:jc w:val="both"/>
              <w:rPr>
                <w:i/>
                <w:iCs/>
              </w:rPr>
            </w:pPr>
          </w:p>
        </w:tc>
        <w:tc>
          <w:tcPr>
            <w:tcW w:w="3004" w:type="dxa"/>
            <w:tcBorders>
              <w:top w:val="single" w:sz="4" w:space="0" w:color="auto"/>
              <w:left w:val="single" w:sz="4" w:space="0" w:color="auto"/>
              <w:bottom w:val="single" w:sz="4" w:space="0" w:color="auto"/>
              <w:right w:val="single" w:sz="4" w:space="0" w:color="auto"/>
            </w:tcBorders>
            <w:hideMark/>
          </w:tcPr>
          <w:p w:rsidR="00F35BCE" w:rsidRDefault="00F35BCE">
            <w:pPr>
              <w:jc w:val="both"/>
              <w:rPr>
                <w:sz w:val="18"/>
                <w:szCs w:val="18"/>
              </w:rPr>
            </w:pPr>
            <w:r>
              <w:rPr>
                <w:noProof/>
                <w:sz w:val="18"/>
                <w:szCs w:val="18"/>
              </w:rPr>
              <w:drawing>
                <wp:inline distT="0" distB="0" distL="0" distR="0" wp14:anchorId="345248C7" wp14:editId="6CD3E3D2">
                  <wp:extent cx="1614805" cy="1163955"/>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l="3654" r="7112"/>
                          <a:stretch>
                            <a:fillRect/>
                          </a:stretch>
                        </pic:blipFill>
                        <pic:spPr bwMode="auto">
                          <a:xfrm>
                            <a:off x="0" y="0"/>
                            <a:ext cx="1614805" cy="1163955"/>
                          </a:xfrm>
                          <a:prstGeom prst="rect">
                            <a:avLst/>
                          </a:prstGeom>
                          <a:noFill/>
                          <a:ln>
                            <a:noFill/>
                          </a:ln>
                        </pic:spPr>
                      </pic:pic>
                    </a:graphicData>
                  </a:graphic>
                </wp:inline>
              </w:drawing>
            </w:r>
          </w:p>
        </w:tc>
      </w:tr>
    </w:tbl>
    <w:p w:rsidR="00F35BCE" w:rsidRDefault="00F35BCE" w:rsidP="00F35BCE">
      <w:pPr>
        <w:pStyle w:val="ListParagraph"/>
        <w:jc w:val="both"/>
      </w:pPr>
    </w:p>
    <w:p w:rsidR="00F35BCE" w:rsidRPr="00D24A82" w:rsidRDefault="00F35BCE" w:rsidP="00F35BCE">
      <w:pPr>
        <w:pStyle w:val="ListParagraph"/>
        <w:numPr>
          <w:ilvl w:val="0"/>
          <w:numId w:val="38"/>
        </w:numPr>
        <w:jc w:val="both"/>
      </w:pPr>
      <w:r>
        <w:t xml:space="preserve">If the client presents other forms of identification documents (e.g. birth certificate or </w:t>
      </w:r>
      <w:r w:rsidR="00F11F31">
        <w:t>other valid identification cards</w:t>
      </w:r>
      <w:r>
        <w:t xml:space="preserve">), </w:t>
      </w:r>
      <w:r w:rsidRPr="00D24A82">
        <w:rPr>
          <w:rFonts w:cs="Arial"/>
        </w:rPr>
        <w:t xml:space="preserve">Vaccination Providers </w:t>
      </w:r>
      <w:r w:rsidRPr="00D24A82">
        <w:t xml:space="preserve">shall verify the parent’s/legal guardian’s signed letter of consent either in hardcopy or softcopy form (Annex B) which is produced by the client. If the </w:t>
      </w:r>
      <w:r w:rsidR="003138B1" w:rsidRPr="00D24A82">
        <w:t>client</w:t>
      </w:r>
      <w:r w:rsidRPr="00D24A82">
        <w:t xml:space="preserve"> is unable to produce the signed letter of consent either in hardcopy or softcopy form, the </w:t>
      </w:r>
      <w:r w:rsidRPr="00D24A82">
        <w:rPr>
          <w:rFonts w:cs="Arial"/>
        </w:rPr>
        <w:t xml:space="preserve">Vaccination Providers </w:t>
      </w:r>
      <w:r w:rsidRPr="00D24A82">
        <w:t xml:space="preserve">will verbally verify consent with the parent / legal guardian whose presence is required in-person and record the consent in GPConnect-lite. Consent for this group is sought at the point when appointment was made. </w:t>
      </w:r>
    </w:p>
    <w:p w:rsidR="00F35BCE" w:rsidRPr="00D24A82" w:rsidRDefault="00F35BCE" w:rsidP="00F35BCE">
      <w:pPr>
        <w:pStyle w:val="ListParagraph"/>
        <w:ind w:left="927"/>
        <w:jc w:val="both"/>
      </w:pPr>
    </w:p>
    <w:p w:rsidR="00F35BCE" w:rsidRPr="00D24A82" w:rsidRDefault="00F35BCE" w:rsidP="00F35BCE">
      <w:pPr>
        <w:pStyle w:val="ListParagraph"/>
        <w:ind w:left="927"/>
        <w:jc w:val="both"/>
        <w:rPr>
          <w:rFonts w:cs="Arial"/>
        </w:rPr>
      </w:pPr>
      <w:r w:rsidRPr="00D24A82">
        <w:rPr>
          <w:rFonts w:cs="Arial"/>
        </w:rPr>
        <w:t>For foreign clients with foreign identification documents or whose birth certificates indicate they were not Singaporean at birth, Vaccination Providers shall register the clients with their FIN number.</w:t>
      </w:r>
    </w:p>
    <w:p w:rsidR="00F35BCE" w:rsidRPr="00D24A82" w:rsidRDefault="00F35BCE" w:rsidP="00F35BCE">
      <w:pPr>
        <w:pStyle w:val="ListParagraph"/>
        <w:ind w:left="927"/>
        <w:jc w:val="both"/>
        <w:rPr>
          <w:rFonts w:cs="Arial"/>
        </w:rPr>
      </w:pPr>
    </w:p>
    <w:p w:rsidR="00F35BCE" w:rsidRDefault="00F35BCE" w:rsidP="00F35BCE">
      <w:pPr>
        <w:pStyle w:val="ListParagraph"/>
        <w:ind w:left="927"/>
        <w:jc w:val="both"/>
        <w:rPr>
          <w:bCs/>
        </w:rPr>
      </w:pPr>
      <w:r w:rsidRPr="00D24A82">
        <w:rPr>
          <w:rFonts w:cs="Arial"/>
        </w:rPr>
        <w:t xml:space="preserve">Vaccination Providers </w:t>
      </w:r>
      <w:r w:rsidRPr="00D24A82">
        <w:t>are not required to retain the hardcopy of the signed letter of consent, either at the first</w:t>
      </w:r>
      <w:r w:rsidRPr="00D24A82">
        <w:rPr>
          <w:color w:val="FF0000"/>
        </w:rPr>
        <w:t xml:space="preserve">, </w:t>
      </w:r>
      <w:r w:rsidRPr="00D24A82">
        <w:t xml:space="preserve">second or </w:t>
      </w:r>
      <w:r w:rsidR="00676520" w:rsidRPr="00D24A82">
        <w:t xml:space="preserve">additional dose </w:t>
      </w:r>
      <w:r w:rsidRPr="00D24A82">
        <w:t xml:space="preserve">appointment. However, the </w:t>
      </w:r>
      <w:r w:rsidRPr="00D24A82">
        <w:rPr>
          <w:rFonts w:cs="Arial"/>
        </w:rPr>
        <w:t xml:space="preserve">Vaccination Providers </w:t>
      </w:r>
      <w:r w:rsidRPr="00D24A82">
        <w:t>should</w:t>
      </w:r>
      <w:r w:rsidRPr="00D24A82">
        <w:rPr>
          <w:bCs/>
        </w:rPr>
        <w:t xml:space="preserve"> document</w:t>
      </w:r>
      <w:r>
        <w:rPr>
          <w:bCs/>
        </w:rPr>
        <w:t xml:space="preserve"> the parent’s/legal guardian’s consent in GPConnect-lite by capturing the following details for every client whose parent/legal guardian consent needs to be verified:</w:t>
      </w:r>
    </w:p>
    <w:p w:rsidR="00F35BCE" w:rsidRDefault="00F35BCE" w:rsidP="00F35BCE">
      <w:pPr>
        <w:pStyle w:val="ListParagraph"/>
        <w:ind w:left="927"/>
        <w:jc w:val="both"/>
        <w:rPr>
          <w:bCs/>
        </w:rPr>
      </w:pPr>
    </w:p>
    <w:p w:rsidR="00F35BCE" w:rsidRDefault="00F35BCE" w:rsidP="00F35BCE">
      <w:pPr>
        <w:pStyle w:val="ListParagraph"/>
        <w:numPr>
          <w:ilvl w:val="0"/>
          <w:numId w:val="39"/>
        </w:numPr>
        <w:jc w:val="both"/>
      </w:pPr>
      <w:r>
        <w:rPr>
          <w:bCs/>
        </w:rPr>
        <w:t>Name of the parent/legal guardian</w:t>
      </w:r>
    </w:p>
    <w:p w:rsidR="00F35BCE" w:rsidRDefault="00F35BCE" w:rsidP="00F35BCE">
      <w:pPr>
        <w:pStyle w:val="ListParagraph"/>
        <w:numPr>
          <w:ilvl w:val="0"/>
          <w:numId w:val="39"/>
        </w:numPr>
        <w:jc w:val="both"/>
      </w:pPr>
      <w:r>
        <w:rPr>
          <w:bCs/>
        </w:rPr>
        <w:t>Contact number of the parent/legal guardian</w:t>
      </w:r>
    </w:p>
    <w:p w:rsidR="00F35BCE" w:rsidRDefault="00F35BCE" w:rsidP="00F35BCE">
      <w:pPr>
        <w:pStyle w:val="ListParagraph"/>
        <w:numPr>
          <w:ilvl w:val="0"/>
          <w:numId w:val="39"/>
        </w:numPr>
        <w:jc w:val="both"/>
      </w:pPr>
      <w:r>
        <w:rPr>
          <w:bCs/>
        </w:rPr>
        <w:t>Consent obtained from parent/legal guardian</w:t>
      </w:r>
    </w:p>
    <w:p w:rsidR="00F35BCE" w:rsidRDefault="00F35BCE" w:rsidP="00F35BCE">
      <w:pPr>
        <w:pStyle w:val="ListParagraph"/>
        <w:numPr>
          <w:ilvl w:val="0"/>
          <w:numId w:val="39"/>
        </w:numPr>
        <w:jc w:val="both"/>
      </w:pPr>
      <w:r>
        <w:rPr>
          <w:bCs/>
        </w:rPr>
        <w:t>&lt;Mode of consent obtained&gt; from parent/legal guardian</w:t>
      </w:r>
    </w:p>
    <w:p w:rsidR="00F35BCE" w:rsidRDefault="00F35BCE" w:rsidP="00F35BCE">
      <w:pPr>
        <w:pStyle w:val="ListParagraph"/>
        <w:numPr>
          <w:ilvl w:val="0"/>
          <w:numId w:val="39"/>
        </w:numPr>
        <w:jc w:val="both"/>
      </w:pPr>
      <w:r>
        <w:rPr>
          <w:bCs/>
        </w:rPr>
        <w:t>Relationship between parent/legal guardian and client</w:t>
      </w:r>
    </w:p>
    <w:p w:rsidR="00F35BCE" w:rsidRDefault="00F35BCE" w:rsidP="00F35BCE">
      <w:pPr>
        <w:jc w:val="both"/>
      </w:pPr>
    </w:p>
    <w:p w:rsidR="006F53B8" w:rsidRDefault="006F53B8" w:rsidP="00F35BCE">
      <w:pPr>
        <w:jc w:val="both"/>
      </w:pPr>
    </w:p>
    <w:tbl>
      <w:tblPr>
        <w:tblStyle w:val="TableGrid1"/>
        <w:tblW w:w="0" w:type="auto"/>
        <w:tblInd w:w="967" w:type="dxa"/>
        <w:tblLayout w:type="fixed"/>
        <w:tblLook w:val="04A0" w:firstRow="1" w:lastRow="0" w:firstColumn="1" w:lastColumn="0" w:noHBand="0" w:noVBand="1"/>
      </w:tblPr>
      <w:tblGrid>
        <w:gridCol w:w="4141"/>
        <w:gridCol w:w="2765"/>
      </w:tblGrid>
      <w:tr w:rsidR="00F35BCE" w:rsidTr="00666F58">
        <w:tc>
          <w:tcPr>
            <w:tcW w:w="4141" w:type="dxa"/>
            <w:tcBorders>
              <w:top w:val="single" w:sz="4" w:space="0" w:color="auto"/>
              <w:left w:val="single" w:sz="4" w:space="0" w:color="auto"/>
              <w:bottom w:val="single" w:sz="4" w:space="0" w:color="auto"/>
              <w:right w:val="single" w:sz="4" w:space="0" w:color="auto"/>
            </w:tcBorders>
          </w:tcPr>
          <w:p w:rsidR="00F35BCE" w:rsidRDefault="00F35BCE">
            <w:pPr>
              <w:jc w:val="both"/>
              <w:rPr>
                <w:rFonts w:cs="Arial"/>
              </w:rPr>
            </w:pPr>
            <w:r>
              <w:t xml:space="preserve">Annex B – </w:t>
            </w:r>
            <w:r>
              <w:rPr>
                <w:rFonts w:cs="Arial"/>
              </w:rPr>
              <w:t>Letter of Consent and Authorisation</w:t>
            </w:r>
          </w:p>
          <w:p w:rsidR="00F35BCE" w:rsidRDefault="00F35BCE">
            <w:pPr>
              <w:jc w:val="both"/>
            </w:pPr>
          </w:p>
          <w:p w:rsidR="00F35BCE" w:rsidRDefault="00F35BCE">
            <w:pPr>
              <w:jc w:val="both"/>
              <w:rPr>
                <w:i/>
                <w:iCs/>
              </w:rPr>
            </w:pPr>
          </w:p>
        </w:tc>
        <w:tc>
          <w:tcPr>
            <w:tcW w:w="2765" w:type="dxa"/>
            <w:tcBorders>
              <w:top w:val="single" w:sz="4" w:space="0" w:color="auto"/>
              <w:left w:val="single" w:sz="4" w:space="0" w:color="auto"/>
              <w:bottom w:val="single" w:sz="4" w:space="0" w:color="auto"/>
              <w:right w:val="single" w:sz="4" w:space="0" w:color="auto"/>
            </w:tcBorders>
          </w:tcPr>
          <w:p w:rsidR="00F35BCE" w:rsidRDefault="00F35BCE" w:rsidP="00666F58">
            <w:pPr>
              <w:rPr>
                <w:sz w:val="18"/>
                <w:szCs w:val="18"/>
              </w:rPr>
            </w:pPr>
            <w:r>
              <w:rPr>
                <w:rFonts w:asciiTheme="minorHAnsi" w:eastAsiaTheme="minorEastAsia" w:hAnsiTheme="minorHAnsi" w:cstheme="minorBidi"/>
                <w:lang w:eastAsia="zh-CN"/>
              </w:rPr>
              <w:object w:dxaOrig="1515" w:dyaOrig="975" w14:anchorId="53BEC166">
                <v:shape id="_x0000_i1029" type="#_x0000_t75" style="width:76pt;height:49pt" o:ole="">
                  <v:imagedata r:id="rId19" o:title=""/>
                </v:shape>
                <o:OLEObject Type="Embed" ProgID="AcroExch.Document.DC" ShapeID="_x0000_i1029" DrawAspect="Icon" ObjectID="_1783446645" r:id="rId20"/>
              </w:object>
            </w:r>
          </w:p>
        </w:tc>
      </w:tr>
    </w:tbl>
    <w:p w:rsidR="00F35BCE" w:rsidRDefault="00F35BCE" w:rsidP="00F35BCE">
      <w:pPr>
        <w:pStyle w:val="ListParagraph"/>
        <w:ind w:left="927"/>
        <w:jc w:val="both"/>
      </w:pPr>
    </w:p>
    <w:p w:rsidR="00F35BCE" w:rsidRDefault="00F35BCE" w:rsidP="00F35BCE">
      <w:pPr>
        <w:pStyle w:val="ListParagraph"/>
        <w:numPr>
          <w:ilvl w:val="0"/>
          <w:numId w:val="38"/>
        </w:numPr>
        <w:jc w:val="both"/>
      </w:pPr>
      <w:r>
        <w:t xml:space="preserve">For the second and </w:t>
      </w:r>
      <w:r w:rsidR="00B11302">
        <w:t>additional dose</w:t>
      </w:r>
      <w:r>
        <w:t xml:space="preserve"> appointments, the </w:t>
      </w:r>
      <w:r w:rsidRPr="00D24A82">
        <w:rPr>
          <w:rFonts w:cs="Arial"/>
        </w:rPr>
        <w:t xml:space="preserve">Vaccination Providers </w:t>
      </w:r>
      <w:r w:rsidRPr="00D24A82">
        <w:t>onsite will again verify that the client has the required parent consent and capture</w:t>
      </w:r>
      <w:r>
        <w:t xml:space="preserve"> the same details in GPConnect-lite for each appointment, before administering the second and </w:t>
      </w:r>
      <w:r w:rsidR="00B11302">
        <w:t xml:space="preserve">additional </w:t>
      </w:r>
      <w:r>
        <w:t>dose.</w:t>
      </w:r>
    </w:p>
    <w:p w:rsidR="00F35BCE" w:rsidRDefault="00F35BCE" w:rsidP="00F35BCE">
      <w:pPr>
        <w:jc w:val="both"/>
      </w:pPr>
    </w:p>
    <w:p w:rsidR="00F35BCE" w:rsidRDefault="00F35BCE" w:rsidP="00F35BCE">
      <w:pPr>
        <w:pStyle w:val="ListParagraph"/>
        <w:numPr>
          <w:ilvl w:val="0"/>
          <w:numId w:val="38"/>
        </w:numPr>
        <w:jc w:val="both"/>
      </w:pPr>
      <w:r>
        <w:t xml:space="preserve">The </w:t>
      </w:r>
      <w:r w:rsidRPr="00D24A82">
        <w:rPr>
          <w:rFonts w:cs="Arial"/>
        </w:rPr>
        <w:t>Vaccination Providers</w:t>
      </w:r>
      <w:r>
        <w:rPr>
          <w:rFonts w:cs="Arial"/>
        </w:rPr>
        <w:t xml:space="preserve"> </w:t>
      </w:r>
      <w:r>
        <w:t>will capture the required data under the “Clinical Notes” area and in accordance with the template shown below.</w:t>
      </w:r>
    </w:p>
    <w:p w:rsidR="00F35BCE" w:rsidRDefault="00F35BCE" w:rsidP="00F35BCE">
      <w:pPr>
        <w:pStyle w:val="ListParagraph"/>
        <w:ind w:left="927"/>
        <w:jc w:val="both"/>
      </w:pPr>
    </w:p>
    <w:p w:rsidR="00F35BCE" w:rsidRDefault="00F35BCE" w:rsidP="00F35BCE">
      <w:pPr>
        <w:ind w:firstLine="720"/>
        <w:jc w:val="both"/>
      </w:pPr>
      <w:r>
        <w:rPr>
          <w:noProof/>
        </w:rPr>
        <w:drawing>
          <wp:inline distT="0" distB="0" distL="0" distR="0" wp14:anchorId="580E4E5B" wp14:editId="44ED61A1">
            <wp:extent cx="5142230" cy="2446020"/>
            <wp:effectExtent l="0" t="0" r="1270" b="114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5142230" cy="2446020"/>
                    </a:xfrm>
                    <a:prstGeom prst="rect">
                      <a:avLst/>
                    </a:prstGeom>
                    <a:noFill/>
                    <a:ln w="9525" cmpd="sng">
                      <a:solidFill>
                        <a:srgbClr val="000000"/>
                      </a:solidFill>
                      <a:miter lim="800000"/>
                      <a:headEnd/>
                      <a:tailEnd/>
                    </a:ln>
                    <a:effectLst/>
                  </pic:spPr>
                </pic:pic>
              </a:graphicData>
            </a:graphic>
          </wp:inline>
        </w:drawing>
      </w:r>
    </w:p>
    <w:p w:rsidR="00F35BCE" w:rsidRDefault="00F35BCE" w:rsidP="00F35BCE">
      <w:pPr>
        <w:jc w:val="both"/>
      </w:pPr>
    </w:p>
    <w:bookmarkEnd w:id="8"/>
    <w:p w:rsidR="00F35BCE" w:rsidRDefault="00F35BCE" w:rsidP="00F35BCE">
      <w:pPr>
        <w:pStyle w:val="ListParagraph"/>
        <w:numPr>
          <w:ilvl w:val="1"/>
          <w:numId w:val="26"/>
        </w:numPr>
        <w:ind w:right="-46"/>
        <w:jc w:val="both"/>
        <w:rPr>
          <w:rFonts w:cs="Arial"/>
        </w:rPr>
      </w:pPr>
      <w:r>
        <w:rPr>
          <w:rFonts w:cs="Arial"/>
        </w:rPr>
        <w:t>Hospitals and other healthcare institutions that provide vaccination services to their existing clients should obtain consent from a parent/legal guardian for their clients who are below 18 years old, using the hospital/institution’s existing processes. Hospitals/institutions should document the parent/legal guardian’s consent obtained in an appropriate EMR/IT system.</w:t>
      </w:r>
    </w:p>
    <w:p w:rsidR="00F35BCE" w:rsidRDefault="00F35BCE" w:rsidP="00F35BCE">
      <w:pPr>
        <w:jc w:val="both"/>
        <w:rPr>
          <w:rFonts w:cs="Arial"/>
        </w:rPr>
      </w:pPr>
    </w:p>
    <w:p w:rsidR="00F35BCE" w:rsidRDefault="00F35BCE" w:rsidP="00F35BCE">
      <w:pPr>
        <w:ind w:left="567"/>
        <w:jc w:val="both"/>
        <w:rPr>
          <w:b/>
          <w:bCs/>
        </w:rPr>
      </w:pPr>
      <w:r>
        <w:rPr>
          <w:b/>
          <w:bCs/>
        </w:rPr>
        <w:t>Medical Screening for</w:t>
      </w:r>
      <w:r>
        <w:t xml:space="preserve"> </w:t>
      </w:r>
      <w:r>
        <w:rPr>
          <w:b/>
          <w:bCs/>
        </w:rPr>
        <w:t>Clients</w:t>
      </w:r>
    </w:p>
    <w:p w:rsidR="00F35BCE" w:rsidRDefault="00F35BCE" w:rsidP="00F35BCE">
      <w:pPr>
        <w:jc w:val="both"/>
      </w:pPr>
    </w:p>
    <w:p w:rsidR="00F35BCE" w:rsidRPr="00D24A82" w:rsidRDefault="00F35BCE" w:rsidP="008C6494">
      <w:pPr>
        <w:pStyle w:val="ListParagraph"/>
        <w:numPr>
          <w:ilvl w:val="1"/>
          <w:numId w:val="26"/>
        </w:numPr>
        <w:ind w:right="-46"/>
        <w:jc w:val="both"/>
        <w:rPr>
          <w:rFonts w:cs="Arial"/>
        </w:rPr>
      </w:pPr>
      <w:r w:rsidRPr="008C6494">
        <w:rPr>
          <w:rFonts w:cs="Arial"/>
        </w:rPr>
        <w:t xml:space="preserve">For medical screening questions which are not declared by the parent/legal guardian on behalf of the </w:t>
      </w:r>
      <w:r>
        <w:rPr>
          <w:rFonts w:cs="Arial"/>
        </w:rPr>
        <w:t>client</w:t>
      </w:r>
      <w:r w:rsidRPr="008C6494">
        <w:rPr>
          <w:rFonts w:cs="Arial"/>
        </w:rPr>
        <w:t xml:space="preserve">, the </w:t>
      </w:r>
      <w:r w:rsidRPr="00D24A82">
        <w:rPr>
          <w:rFonts w:cs="Arial"/>
        </w:rPr>
        <w:t xml:space="preserve">Vaccination Providers onsite should ask </w:t>
      </w:r>
      <w:r w:rsidR="00EA20C5" w:rsidRPr="00D24A82">
        <w:t xml:space="preserve">the client these questions when the client presents himself/herself for vaccination with an authorised proxy. </w:t>
      </w:r>
      <w:r w:rsidRPr="00D24A82">
        <w:rPr>
          <w:rFonts w:cs="Arial"/>
        </w:rPr>
        <w:t>If the Vaccination Providers assesses that the client is unable to answer the screening questions, or seems unsure about the screening questions, or seems not to be taking the vaccination process seriously, the Vaccination Providers should for avoidance of doubt contact the parent/legal guardian to clarify the answers to the relevant questions before administering the vaccine to the client.</w:t>
      </w:r>
    </w:p>
    <w:p w:rsidR="00F35BCE" w:rsidRPr="00D24A82" w:rsidRDefault="00F35BCE" w:rsidP="00F35BCE">
      <w:pPr>
        <w:pStyle w:val="ListParagraph"/>
        <w:ind w:left="567"/>
        <w:jc w:val="both"/>
        <w:rPr>
          <w:rFonts w:cs="Arial"/>
        </w:rPr>
      </w:pPr>
    </w:p>
    <w:p w:rsidR="00F35BCE" w:rsidRPr="00D24A82" w:rsidRDefault="00F35BCE" w:rsidP="008C6494">
      <w:pPr>
        <w:pStyle w:val="ListParagraph"/>
        <w:numPr>
          <w:ilvl w:val="1"/>
          <w:numId w:val="26"/>
        </w:numPr>
        <w:ind w:right="-46"/>
        <w:jc w:val="both"/>
        <w:rPr>
          <w:rFonts w:cs="Arial"/>
        </w:rPr>
      </w:pPr>
      <w:r w:rsidRPr="00D24A82">
        <w:rPr>
          <w:rFonts w:cs="Arial"/>
        </w:rPr>
        <w:t>If the parent of the client is present in-person during vaccination, the Vaccination Providers will ask the parent the screening questions, for the parent to answer on behalf of the client.</w:t>
      </w:r>
    </w:p>
    <w:p w:rsidR="00F35BCE" w:rsidRPr="00EA20C5" w:rsidRDefault="00F35BCE" w:rsidP="00EA20C5">
      <w:pPr>
        <w:jc w:val="both"/>
        <w:rPr>
          <w:rFonts w:cs="Arial"/>
        </w:rPr>
      </w:pPr>
    </w:p>
    <w:p w:rsidR="00F35BCE" w:rsidRDefault="00F35BCE" w:rsidP="00F35BCE">
      <w:pPr>
        <w:pStyle w:val="ListParagraph"/>
        <w:numPr>
          <w:ilvl w:val="1"/>
          <w:numId w:val="26"/>
        </w:numPr>
        <w:jc w:val="both"/>
        <w:rPr>
          <w:rFonts w:cs="Arial"/>
        </w:rPr>
      </w:pPr>
      <w:r>
        <w:rPr>
          <w:rFonts w:cs="Arial"/>
        </w:rPr>
        <w:t>The vaccination will generally follow the processes below:</w:t>
      </w:r>
    </w:p>
    <w:p w:rsidR="00F35BCE" w:rsidRDefault="00F35BCE" w:rsidP="00F35BCE">
      <w:pPr>
        <w:pStyle w:val="ListParagraph"/>
        <w:ind w:left="900"/>
        <w:jc w:val="both"/>
        <w:rPr>
          <w:b/>
          <w:bCs/>
        </w:rPr>
      </w:pPr>
    </w:p>
    <w:p w:rsidR="00F35BCE" w:rsidRDefault="00F35BCE" w:rsidP="00F35BCE">
      <w:pPr>
        <w:pStyle w:val="ListParagraph"/>
        <w:numPr>
          <w:ilvl w:val="0"/>
          <w:numId w:val="41"/>
        </w:numPr>
        <w:ind w:left="900"/>
        <w:jc w:val="both"/>
        <w:rPr>
          <w:rFonts w:cs="Arial"/>
        </w:rPr>
      </w:pPr>
      <w:r>
        <w:rPr>
          <w:rFonts w:cs="Arial"/>
        </w:rPr>
        <w:t>Pre-vaccination – Clients will make appointment</w:t>
      </w:r>
      <w:r w:rsidR="00D24A82">
        <w:rPr>
          <w:rFonts w:cs="Arial"/>
        </w:rPr>
        <w:t xml:space="preserve"> or walk-in</w:t>
      </w:r>
      <w:r>
        <w:rPr>
          <w:rFonts w:cs="Arial"/>
        </w:rPr>
        <w:t xml:space="preserve"> for vaccination.  </w:t>
      </w:r>
    </w:p>
    <w:p w:rsidR="00F35BCE" w:rsidRDefault="00F35BCE" w:rsidP="00F35BCE">
      <w:pPr>
        <w:pStyle w:val="ListParagraph"/>
        <w:ind w:left="900"/>
        <w:jc w:val="both"/>
        <w:rPr>
          <w:rFonts w:cs="Arial"/>
        </w:rPr>
      </w:pPr>
      <w:bookmarkStart w:id="9" w:name="_Hlk71554180"/>
    </w:p>
    <w:p w:rsidR="00F35BCE" w:rsidRDefault="00F35BCE" w:rsidP="00F35BCE">
      <w:pPr>
        <w:pStyle w:val="ListParagraph"/>
        <w:numPr>
          <w:ilvl w:val="0"/>
          <w:numId w:val="41"/>
        </w:numPr>
        <w:ind w:left="900"/>
        <w:jc w:val="both"/>
        <w:rPr>
          <w:rFonts w:cs="Arial"/>
        </w:rPr>
      </w:pPr>
      <w:r>
        <w:rPr>
          <w:rFonts w:cs="Arial"/>
        </w:rPr>
        <w:t xml:space="preserve">On-Site Registration and Triaging – </w:t>
      </w:r>
      <w:r w:rsidR="00B47A62">
        <w:rPr>
          <w:rFonts w:cs="Arial"/>
        </w:rPr>
        <w:t>U</w:t>
      </w:r>
      <w:r>
        <w:rPr>
          <w:rFonts w:cs="Arial"/>
        </w:rPr>
        <w:t xml:space="preserve">pon the client’s arrival at the vaccination site, the client will be triaged and screened based on the client’s updated information and age. For organisations with access to NEHR, the Doctor/Nurse shall also access the client’s NEHR via GPConnect Lite/Staff Surveillance System (S3)/Electronic Medical Record (EMR) to verify the client’s medical history. </w:t>
      </w:r>
      <w:bookmarkStart w:id="10" w:name="_Hlk159930916"/>
      <w:r w:rsidR="00106D0D" w:rsidRPr="004F7008">
        <w:rPr>
          <w:rFonts w:cs="Arial"/>
        </w:rPr>
        <w:t>COVID-19 vaccines can now be administered</w:t>
      </w:r>
      <w:r w:rsidR="00106D0D">
        <w:rPr>
          <w:rFonts w:cs="Arial"/>
        </w:rPr>
        <w:t xml:space="preserve"> concurrently</w:t>
      </w:r>
      <w:r w:rsidR="00106D0D" w:rsidRPr="004F7008">
        <w:rPr>
          <w:rFonts w:cs="Arial"/>
        </w:rPr>
        <w:t xml:space="preserve"> with other </w:t>
      </w:r>
      <w:r w:rsidR="00106D0D" w:rsidRPr="00257286">
        <w:rPr>
          <w:rFonts w:cs="Arial"/>
        </w:rPr>
        <w:t>non-COVID-19</w:t>
      </w:r>
      <w:r w:rsidR="00106D0D">
        <w:rPr>
          <w:rFonts w:cs="Arial"/>
        </w:rPr>
        <w:t xml:space="preserve"> </w:t>
      </w:r>
      <w:r w:rsidR="00106D0D" w:rsidRPr="004F7008">
        <w:rPr>
          <w:rFonts w:cs="Arial"/>
        </w:rPr>
        <w:t>vaccines across all ages eligible for the vaccine.</w:t>
      </w:r>
      <w:bookmarkEnd w:id="10"/>
      <w:r w:rsidR="00106D0D">
        <w:rPr>
          <w:rFonts w:cs="Arial"/>
        </w:rPr>
        <w:t xml:space="preserve"> </w:t>
      </w:r>
      <w:r>
        <w:rPr>
          <w:rFonts w:cs="Arial"/>
        </w:rPr>
        <w:t>The Doctor/Nurse shall also check the client’s COVID-19 vaccination records, if any, via GPConnect Lite/S3/EMR.</w:t>
      </w:r>
    </w:p>
    <w:bookmarkEnd w:id="9"/>
    <w:p w:rsidR="00F35BCE" w:rsidRDefault="00F35BCE" w:rsidP="00F35BCE">
      <w:pPr>
        <w:pStyle w:val="ListParagraph"/>
        <w:ind w:left="900"/>
        <w:jc w:val="both"/>
        <w:rPr>
          <w:rFonts w:cs="Arial"/>
        </w:rPr>
      </w:pPr>
    </w:p>
    <w:p w:rsidR="00F35BCE" w:rsidRDefault="00F35BCE" w:rsidP="00F35BCE">
      <w:pPr>
        <w:pStyle w:val="ListParagraph"/>
        <w:numPr>
          <w:ilvl w:val="0"/>
          <w:numId w:val="41"/>
        </w:numPr>
        <w:ind w:left="900"/>
        <w:jc w:val="both"/>
        <w:rPr>
          <w:rFonts w:cs="Arial"/>
        </w:rPr>
      </w:pPr>
      <w:r>
        <w:rPr>
          <w:rFonts w:cs="Arial"/>
        </w:rPr>
        <w:t xml:space="preserve">Vaccination – </w:t>
      </w:r>
      <w:r w:rsidR="00156490">
        <w:rPr>
          <w:rFonts w:cs="Arial"/>
        </w:rPr>
        <w:t>V</w:t>
      </w:r>
      <w:r>
        <w:rPr>
          <w:rFonts w:cs="Arial"/>
        </w:rPr>
        <w:t>accination and data capture.</w:t>
      </w:r>
    </w:p>
    <w:p w:rsidR="00F35BCE" w:rsidRDefault="00F35BCE" w:rsidP="00F35BCE">
      <w:pPr>
        <w:pStyle w:val="ListParagraph"/>
        <w:ind w:left="900"/>
        <w:jc w:val="both"/>
        <w:rPr>
          <w:rFonts w:cs="Arial"/>
        </w:rPr>
      </w:pPr>
    </w:p>
    <w:p w:rsidR="00F35BCE" w:rsidRDefault="00F35BCE" w:rsidP="00F35BCE">
      <w:pPr>
        <w:pStyle w:val="ListParagraph"/>
        <w:numPr>
          <w:ilvl w:val="0"/>
          <w:numId w:val="41"/>
        </w:numPr>
        <w:ind w:left="900"/>
        <w:jc w:val="both"/>
        <w:rPr>
          <w:rFonts w:cs="Arial"/>
        </w:rPr>
      </w:pPr>
      <w:r>
        <w:rPr>
          <w:rFonts w:cs="Arial"/>
        </w:rPr>
        <w:t xml:space="preserve">Post-vaccination – </w:t>
      </w:r>
      <w:r w:rsidR="00156490">
        <w:rPr>
          <w:rFonts w:cs="Arial"/>
        </w:rPr>
        <w:t>M</w:t>
      </w:r>
      <w:r>
        <w:rPr>
          <w:rFonts w:cs="Arial"/>
        </w:rPr>
        <w:t>onitoring and reporting of adverse effects</w:t>
      </w:r>
      <w:r w:rsidR="00B11302">
        <w:rPr>
          <w:rFonts w:cs="Arial"/>
        </w:rPr>
        <w:t>, if necessary</w:t>
      </w:r>
      <w:r>
        <w:rPr>
          <w:rFonts w:cs="Arial"/>
        </w:rPr>
        <w:t>.</w:t>
      </w:r>
    </w:p>
    <w:p w:rsidR="00F35BCE" w:rsidRDefault="00F35BCE" w:rsidP="00F35BCE">
      <w:pPr>
        <w:pStyle w:val="ListParagraph"/>
        <w:ind w:left="567"/>
        <w:jc w:val="both"/>
        <w:rPr>
          <w:rFonts w:cs="Arial"/>
        </w:rPr>
      </w:pPr>
    </w:p>
    <w:p w:rsidR="00F35BCE" w:rsidRDefault="00F35BCE" w:rsidP="00F35BCE">
      <w:pPr>
        <w:ind w:left="567"/>
        <w:jc w:val="both"/>
        <w:rPr>
          <w:rFonts w:cs="Arial"/>
          <w:b/>
          <w:bCs/>
        </w:rPr>
      </w:pPr>
      <w:r>
        <w:rPr>
          <w:rFonts w:cs="Arial"/>
          <w:b/>
          <w:bCs/>
        </w:rPr>
        <w:t>Referral to Public Healthcare Institutions (KKH/NUH) for In-Situ Vaccination</w:t>
      </w:r>
    </w:p>
    <w:p w:rsidR="00F35BCE" w:rsidRDefault="00F35BCE" w:rsidP="00F35BCE">
      <w:pPr>
        <w:jc w:val="both"/>
        <w:rPr>
          <w:rFonts w:cs="Arial"/>
        </w:rPr>
      </w:pPr>
    </w:p>
    <w:p w:rsidR="00F35BCE" w:rsidRDefault="00F35BCE" w:rsidP="00667D22">
      <w:pPr>
        <w:pStyle w:val="ListParagraph"/>
        <w:numPr>
          <w:ilvl w:val="1"/>
          <w:numId w:val="26"/>
        </w:numPr>
        <w:jc w:val="both"/>
        <w:rPr>
          <w:rFonts w:cs="Arial"/>
        </w:rPr>
      </w:pPr>
      <w:r>
        <w:rPr>
          <w:rFonts w:cs="Arial"/>
        </w:rPr>
        <w:t>The default posture is for vaccination to take place in the community. Most clients can and should be safely vaccinated in the Vaccination Centres. There are rare exceptions who may require vaccination in a hospital setting. The workflow for such referrals can be found in the table below.</w:t>
      </w:r>
    </w:p>
    <w:p w:rsidR="00F35BCE" w:rsidRDefault="00F35BCE" w:rsidP="00F35BCE">
      <w:pPr>
        <w:pStyle w:val="ListParagraph"/>
        <w:ind w:left="567"/>
        <w:jc w:val="both"/>
        <w:rPr>
          <w:rFonts w:cs="Arial"/>
        </w:rPr>
      </w:pPr>
    </w:p>
    <w:tbl>
      <w:tblPr>
        <w:tblStyle w:val="TableGrid"/>
        <w:tblW w:w="8505" w:type="dxa"/>
        <w:tblInd w:w="562" w:type="dxa"/>
        <w:tblLayout w:type="fixed"/>
        <w:tblLook w:val="04A0" w:firstRow="1" w:lastRow="0" w:firstColumn="1" w:lastColumn="0" w:noHBand="0" w:noVBand="1"/>
      </w:tblPr>
      <w:tblGrid>
        <w:gridCol w:w="2127"/>
        <w:gridCol w:w="1417"/>
        <w:gridCol w:w="2410"/>
        <w:gridCol w:w="2551"/>
      </w:tblGrid>
      <w:tr w:rsidR="00F35BCE" w:rsidTr="00F35BCE">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F35BCE" w:rsidRDefault="00F35BCE" w:rsidP="00012C84">
            <w:pPr>
              <w:rPr>
                <w:rFonts w:cs="Arial"/>
                <w:b/>
                <w:bCs/>
              </w:rPr>
            </w:pPr>
            <w:r>
              <w:rPr>
                <w:rFonts w:cs="Arial"/>
                <w:b/>
                <w:bCs/>
              </w:rPr>
              <w:t>Document</w:t>
            </w:r>
          </w:p>
        </w:tc>
        <w:tc>
          <w:tcPr>
            <w:tcW w:w="637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F35BCE" w:rsidRDefault="00F35BCE" w:rsidP="00666F58">
            <w:pPr>
              <w:jc w:val="center"/>
              <w:rPr>
                <w:rFonts w:cs="Arial"/>
                <w:u w:val="single"/>
              </w:rPr>
            </w:pPr>
            <w:r>
              <w:rPr>
                <w:rFonts w:cs="Arial"/>
                <w:b/>
                <w:bCs/>
              </w:rPr>
              <w:t>Attachment</w:t>
            </w:r>
          </w:p>
        </w:tc>
      </w:tr>
      <w:tr w:rsidR="00F35BCE" w:rsidTr="00F35BCE">
        <w:tc>
          <w:tcPr>
            <w:tcW w:w="2127" w:type="dxa"/>
            <w:vMerge w:val="restart"/>
            <w:tcBorders>
              <w:top w:val="single" w:sz="4" w:space="0" w:color="auto"/>
              <w:left w:val="single" w:sz="4" w:space="0" w:color="auto"/>
              <w:bottom w:val="single" w:sz="4" w:space="0" w:color="auto"/>
              <w:right w:val="single" w:sz="4" w:space="0" w:color="auto"/>
            </w:tcBorders>
            <w:vAlign w:val="center"/>
          </w:tcPr>
          <w:p w:rsidR="00F35BCE" w:rsidRDefault="00F35BCE">
            <w:pPr>
              <w:rPr>
                <w:rFonts w:cs="Arial"/>
              </w:rPr>
            </w:pPr>
            <w:bookmarkStart w:id="11" w:name="_Hlk91501811"/>
            <w:r>
              <w:rPr>
                <w:rFonts w:cs="Arial"/>
              </w:rPr>
              <w:t>Referral for In-Situ Paediatric Vaccination in the Public Healthcare Institutions</w:t>
            </w:r>
            <w:bookmarkEnd w:id="11"/>
          </w:p>
          <w:p w:rsidR="00F35BCE" w:rsidRDefault="00F35BCE">
            <w:pPr>
              <w:jc w:val="center"/>
              <w:rPr>
                <w:rFonts w:cs="Arial"/>
              </w:rPr>
            </w:pPr>
          </w:p>
        </w:tc>
        <w:tc>
          <w:tcPr>
            <w:tcW w:w="1417" w:type="dxa"/>
            <w:tcBorders>
              <w:top w:val="single" w:sz="4" w:space="0" w:color="auto"/>
              <w:left w:val="single" w:sz="4" w:space="0" w:color="auto"/>
              <w:bottom w:val="single" w:sz="4" w:space="0" w:color="auto"/>
              <w:right w:val="single" w:sz="4" w:space="0" w:color="auto"/>
            </w:tcBorders>
          </w:tcPr>
          <w:p w:rsidR="00F35BCE" w:rsidRDefault="00F35BCE">
            <w:pPr>
              <w:pStyle w:val="ListParagraph"/>
              <w:ind w:left="567"/>
              <w:rPr>
                <w:rFonts w:cs="Arial"/>
              </w:rPr>
            </w:pPr>
          </w:p>
        </w:tc>
        <w:tc>
          <w:tcPr>
            <w:tcW w:w="2410" w:type="dxa"/>
            <w:tcBorders>
              <w:top w:val="single" w:sz="4" w:space="0" w:color="auto"/>
              <w:left w:val="single" w:sz="4" w:space="0" w:color="auto"/>
              <w:bottom w:val="single" w:sz="4" w:space="0" w:color="auto"/>
              <w:right w:val="single" w:sz="4" w:space="0" w:color="auto"/>
            </w:tcBorders>
            <w:hideMark/>
          </w:tcPr>
          <w:p w:rsidR="00F35BCE" w:rsidRDefault="00F35BCE" w:rsidP="00012C84">
            <w:pPr>
              <w:rPr>
                <w:rFonts w:cs="Arial"/>
              </w:rPr>
            </w:pPr>
            <w:r>
              <w:rPr>
                <w:rFonts w:cs="Arial"/>
              </w:rPr>
              <w:t>Referral Instructions</w:t>
            </w:r>
          </w:p>
        </w:tc>
        <w:tc>
          <w:tcPr>
            <w:tcW w:w="2551" w:type="dxa"/>
            <w:tcBorders>
              <w:top w:val="single" w:sz="4" w:space="0" w:color="auto"/>
              <w:left w:val="single" w:sz="4" w:space="0" w:color="auto"/>
              <w:bottom w:val="single" w:sz="4" w:space="0" w:color="auto"/>
              <w:right w:val="single" w:sz="4" w:space="0" w:color="auto"/>
            </w:tcBorders>
            <w:hideMark/>
          </w:tcPr>
          <w:p w:rsidR="00F35BCE" w:rsidRDefault="00F35BCE" w:rsidP="00012C84">
            <w:pPr>
              <w:rPr>
                <w:rFonts w:cs="Arial"/>
              </w:rPr>
            </w:pPr>
            <w:r>
              <w:rPr>
                <w:rFonts w:cs="Arial"/>
              </w:rPr>
              <w:t>Referral Form</w:t>
            </w:r>
          </w:p>
        </w:tc>
      </w:tr>
      <w:tr w:rsidR="00F35BCE" w:rsidTr="00E804EB">
        <w:tc>
          <w:tcPr>
            <w:tcW w:w="2127" w:type="dxa"/>
            <w:vMerge/>
            <w:tcBorders>
              <w:top w:val="single" w:sz="4" w:space="0" w:color="auto"/>
              <w:left w:val="single" w:sz="4" w:space="0" w:color="auto"/>
              <w:bottom w:val="single" w:sz="4" w:space="0" w:color="auto"/>
              <w:right w:val="single" w:sz="4" w:space="0" w:color="auto"/>
            </w:tcBorders>
            <w:vAlign w:val="center"/>
            <w:hideMark/>
          </w:tcPr>
          <w:p w:rsidR="00F35BCE" w:rsidRDefault="00F35BCE">
            <w:pPr>
              <w:rPr>
                <w:rFonts w:cs="Arial"/>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F35BCE" w:rsidRDefault="00F35BCE">
            <w:pPr>
              <w:jc w:val="center"/>
              <w:rPr>
                <w:rFonts w:cs="Arial"/>
              </w:rPr>
            </w:pPr>
            <w:r>
              <w:rPr>
                <w:rFonts w:cs="Arial"/>
              </w:rPr>
              <w:t>KKH</w:t>
            </w:r>
          </w:p>
          <w:p w:rsidR="00F35BCE" w:rsidRDefault="00F35BCE">
            <w:pPr>
              <w:jc w:val="center"/>
              <w:rPr>
                <w:rFonts w:cs="Arial"/>
              </w:rPr>
            </w:pPr>
            <w:r>
              <w:rPr>
                <w:rFonts w:cs="Arial"/>
              </w:rPr>
              <w:t xml:space="preserve">(Annex </w:t>
            </w:r>
            <w:r w:rsidR="00B11302">
              <w:rPr>
                <w:rFonts w:cs="Arial"/>
              </w:rPr>
              <w:t>C</w:t>
            </w:r>
            <w:r>
              <w:rPr>
                <w:rFonts w:cs="Arial"/>
              </w:rPr>
              <w:t>)</w:t>
            </w:r>
          </w:p>
        </w:tc>
        <w:bookmarkStart w:id="12" w:name="_MON_1702115416"/>
        <w:bookmarkEnd w:id="12"/>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5BCE" w:rsidRDefault="00B11302" w:rsidP="00AB0A8B">
            <w:pPr>
              <w:rPr>
                <w:rFonts w:cs="Arial"/>
              </w:rPr>
            </w:pPr>
            <w:r>
              <w:object w:dxaOrig="935" w:dyaOrig="602" w14:anchorId="19D56087">
                <v:shape id="_x0000_i1030" type="#_x0000_t75" style="width:41pt;height:26pt" o:ole="">
                  <v:imagedata r:id="rId23" o:title=""/>
                </v:shape>
                <o:OLEObject Type="Embed" ProgID="AcroExch.Document.DC" ShapeID="_x0000_i1030" DrawAspect="Icon" ObjectID="_1783446646" r:id="rId24"/>
              </w:objec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5BCE" w:rsidRDefault="0066481D" w:rsidP="00AB0A8B">
            <w:pPr>
              <w:rPr>
                <w:rFonts w:cs="Arial"/>
              </w:rPr>
            </w:pPr>
            <w:r>
              <w:rPr>
                <w:rFonts w:cs="Arial"/>
              </w:rPr>
              <w:object w:dxaOrig="1376" w:dyaOrig="899" w14:anchorId="46219D93">
                <v:shape id="_x0000_i1031" type="#_x0000_t75" style="width:69pt;height:44pt" o:ole="">
                  <v:imagedata r:id="rId25" o:title=""/>
                </v:shape>
                <o:OLEObject Type="Embed" ProgID="AcroExch.Document.DC" ShapeID="_x0000_i1031" DrawAspect="Icon" ObjectID="_1783446647" r:id="rId26"/>
              </w:object>
            </w:r>
          </w:p>
        </w:tc>
      </w:tr>
      <w:tr w:rsidR="00F35BCE" w:rsidTr="00E804EB">
        <w:trPr>
          <w:trHeight w:val="834"/>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F35BCE" w:rsidRDefault="00F35BCE">
            <w:pPr>
              <w:rPr>
                <w:rFonts w:cs="Arial"/>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F35BCE" w:rsidRDefault="00F35BCE">
            <w:pPr>
              <w:jc w:val="center"/>
              <w:rPr>
                <w:rFonts w:cs="Arial"/>
              </w:rPr>
            </w:pPr>
            <w:r>
              <w:rPr>
                <w:rFonts w:cs="Arial"/>
              </w:rPr>
              <w:t>NUH</w:t>
            </w:r>
          </w:p>
          <w:p w:rsidR="00F35BCE" w:rsidRDefault="00F35BCE">
            <w:pPr>
              <w:jc w:val="center"/>
              <w:rPr>
                <w:rFonts w:cs="Arial"/>
              </w:rPr>
            </w:pPr>
            <w:r>
              <w:rPr>
                <w:rFonts w:cs="Arial"/>
              </w:rPr>
              <w:t xml:space="preserve">(Annex </w:t>
            </w:r>
            <w:r w:rsidR="00B11302">
              <w:rPr>
                <w:rFonts w:cs="Arial"/>
              </w:rPr>
              <w:t>D</w:t>
            </w:r>
            <w:r>
              <w:rPr>
                <w:rFonts w:cs="Arial"/>
              </w:rPr>
              <w:t>)</w:t>
            </w:r>
          </w:p>
        </w:tc>
        <w:bookmarkStart w:id="13" w:name="_MON_1702115423"/>
        <w:bookmarkEnd w:id="13"/>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5BCE" w:rsidRDefault="00B11302" w:rsidP="00AB0A8B">
            <w:pPr>
              <w:rPr>
                <w:rFonts w:cs="Arial"/>
              </w:rPr>
            </w:pPr>
            <w:r>
              <w:object w:dxaOrig="935" w:dyaOrig="602" w14:anchorId="37F28431">
                <v:shape id="_x0000_i1032" type="#_x0000_t75" style="width:42.5pt;height:27pt" o:ole="">
                  <v:imagedata r:id="rId27" o:title=""/>
                </v:shape>
                <o:OLEObject Type="Embed" ProgID="AcroExch.Document.DC" ShapeID="_x0000_i1032" DrawAspect="Icon" ObjectID="_1783446648" r:id="rId28"/>
              </w:objec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35BCE" w:rsidRDefault="00F35BCE" w:rsidP="00AB0A8B">
            <w:pPr>
              <w:rPr>
                <w:rFonts w:cs="Arial"/>
              </w:rPr>
            </w:pPr>
            <w:r>
              <w:rPr>
                <w:rFonts w:cs="Arial"/>
              </w:rPr>
              <w:object w:dxaOrig="1500" w:dyaOrig="975" w14:anchorId="12A6DA36">
                <v:shape id="_x0000_i1033" type="#_x0000_t75" style="width:75pt;height:49pt" o:ole="">
                  <v:imagedata r:id="rId29" o:title=""/>
                </v:shape>
                <o:OLEObject Type="Embed" ProgID="AcroExch.Document.DC" ShapeID="_x0000_i1033" DrawAspect="Icon" ObjectID="_1783446649" r:id="rId30"/>
              </w:object>
            </w:r>
          </w:p>
        </w:tc>
      </w:tr>
    </w:tbl>
    <w:p w:rsidR="00F35BCE" w:rsidRDefault="00F35BCE" w:rsidP="00F35BCE">
      <w:pPr>
        <w:pStyle w:val="ListParagraph"/>
        <w:ind w:left="567"/>
        <w:jc w:val="both"/>
        <w:rPr>
          <w:rFonts w:cs="Arial"/>
        </w:rPr>
      </w:pPr>
    </w:p>
    <w:p w:rsidR="00F35BCE" w:rsidRDefault="00F35BCE" w:rsidP="00667D22">
      <w:pPr>
        <w:pStyle w:val="ListParagraph"/>
        <w:numPr>
          <w:ilvl w:val="1"/>
          <w:numId w:val="26"/>
        </w:numPr>
        <w:jc w:val="both"/>
        <w:rPr>
          <w:rFonts w:cs="Arial"/>
        </w:rPr>
      </w:pPr>
      <w:r>
        <w:rPr>
          <w:rFonts w:cs="Arial"/>
        </w:rPr>
        <w:t xml:space="preserve">The following documents are required during the vaccination process: </w:t>
      </w:r>
    </w:p>
    <w:p w:rsidR="00F35BCE" w:rsidRDefault="00F35BCE" w:rsidP="00F35BCE">
      <w:pPr>
        <w:pStyle w:val="ListParagraph"/>
        <w:ind w:left="567"/>
        <w:jc w:val="both"/>
        <w:rPr>
          <w:rFonts w:cs="Arial"/>
        </w:rPr>
      </w:pPr>
    </w:p>
    <w:tbl>
      <w:tblPr>
        <w:tblStyle w:val="TableGrid"/>
        <w:tblW w:w="8500" w:type="dxa"/>
        <w:tblInd w:w="567" w:type="dxa"/>
        <w:tblLayout w:type="fixed"/>
        <w:tblLook w:val="04A0" w:firstRow="1" w:lastRow="0" w:firstColumn="1" w:lastColumn="0" w:noHBand="0" w:noVBand="1"/>
      </w:tblPr>
      <w:tblGrid>
        <w:gridCol w:w="1696"/>
        <w:gridCol w:w="4395"/>
        <w:gridCol w:w="2409"/>
      </w:tblGrid>
      <w:tr w:rsidR="00F35BCE" w:rsidTr="00AB0A8B">
        <w:tc>
          <w:tcPr>
            <w:tcW w:w="1696" w:type="dxa"/>
            <w:tcBorders>
              <w:top w:val="single" w:sz="4" w:space="0" w:color="auto"/>
              <w:left w:val="single" w:sz="4" w:space="0" w:color="auto"/>
              <w:bottom w:val="single" w:sz="4" w:space="0" w:color="auto"/>
              <w:right w:val="single" w:sz="4" w:space="0" w:color="auto"/>
            </w:tcBorders>
            <w:hideMark/>
          </w:tcPr>
          <w:p w:rsidR="00F35BCE" w:rsidRDefault="00F35BCE" w:rsidP="000D54C1">
            <w:pPr>
              <w:pStyle w:val="ListParagraph"/>
              <w:ind w:left="0"/>
              <w:rPr>
                <w:rFonts w:cs="Arial"/>
              </w:rPr>
            </w:pPr>
            <w:r>
              <w:rPr>
                <w:rFonts w:cs="Arial"/>
                <w:b/>
                <w:bCs/>
              </w:rPr>
              <w:t>Document</w:t>
            </w:r>
          </w:p>
        </w:tc>
        <w:tc>
          <w:tcPr>
            <w:tcW w:w="4395" w:type="dxa"/>
            <w:tcBorders>
              <w:top w:val="single" w:sz="4" w:space="0" w:color="auto"/>
              <w:left w:val="single" w:sz="4" w:space="0" w:color="auto"/>
              <w:bottom w:val="single" w:sz="4" w:space="0" w:color="auto"/>
              <w:right w:val="single" w:sz="4" w:space="0" w:color="auto"/>
            </w:tcBorders>
            <w:hideMark/>
          </w:tcPr>
          <w:p w:rsidR="00F35BCE" w:rsidRDefault="00F35BCE" w:rsidP="000D54C1">
            <w:pPr>
              <w:pStyle w:val="ListParagraph"/>
              <w:ind w:left="0"/>
              <w:rPr>
                <w:rFonts w:cs="Arial"/>
              </w:rPr>
            </w:pPr>
            <w:r>
              <w:rPr>
                <w:rFonts w:cs="Arial"/>
                <w:b/>
                <w:bCs/>
              </w:rPr>
              <w:t>Purpose of Document</w:t>
            </w:r>
          </w:p>
        </w:tc>
        <w:tc>
          <w:tcPr>
            <w:tcW w:w="2409" w:type="dxa"/>
            <w:tcBorders>
              <w:top w:val="single" w:sz="4" w:space="0" w:color="auto"/>
              <w:left w:val="single" w:sz="4" w:space="0" w:color="auto"/>
              <w:bottom w:val="single" w:sz="4" w:space="0" w:color="auto"/>
              <w:right w:val="single" w:sz="4" w:space="0" w:color="auto"/>
            </w:tcBorders>
            <w:hideMark/>
          </w:tcPr>
          <w:p w:rsidR="00F35BCE" w:rsidRDefault="00F35BCE" w:rsidP="000D54C1">
            <w:pPr>
              <w:pStyle w:val="ListParagraph"/>
              <w:ind w:left="0"/>
              <w:rPr>
                <w:rFonts w:cs="Arial"/>
              </w:rPr>
            </w:pPr>
            <w:r w:rsidRPr="00D24A82">
              <w:rPr>
                <w:rFonts w:cs="Arial"/>
                <w:b/>
                <w:bCs/>
                <w:highlight w:val="yellow"/>
              </w:rPr>
              <w:t>Pfizer-BioNTech/Comirnaty Monovalent</w:t>
            </w:r>
          </w:p>
        </w:tc>
      </w:tr>
      <w:tr w:rsidR="00F35BCE" w:rsidTr="00AB0A8B">
        <w:trPr>
          <w:trHeight w:val="1033"/>
        </w:trPr>
        <w:tc>
          <w:tcPr>
            <w:tcW w:w="1696" w:type="dxa"/>
            <w:tcBorders>
              <w:top w:val="single" w:sz="4" w:space="0" w:color="auto"/>
              <w:left w:val="single" w:sz="4" w:space="0" w:color="auto"/>
              <w:bottom w:val="single" w:sz="4" w:space="0" w:color="auto"/>
              <w:right w:val="single" w:sz="4" w:space="0" w:color="auto"/>
            </w:tcBorders>
            <w:hideMark/>
          </w:tcPr>
          <w:p w:rsidR="00F35BCE" w:rsidRDefault="00F35BCE">
            <w:pPr>
              <w:jc w:val="both"/>
              <w:rPr>
                <w:rFonts w:cs="Arial"/>
              </w:rPr>
            </w:pPr>
            <w:bookmarkStart w:id="14" w:name="_Hlk87342872"/>
            <w:r>
              <w:rPr>
                <w:rFonts w:cs="Arial"/>
              </w:rPr>
              <w:t xml:space="preserve">Vaccination Information Sheet </w:t>
            </w:r>
          </w:p>
          <w:p w:rsidR="00F35BCE" w:rsidRDefault="00F35BCE">
            <w:pPr>
              <w:pStyle w:val="ListParagraph"/>
              <w:ind w:left="0"/>
              <w:jc w:val="both"/>
              <w:rPr>
                <w:rFonts w:cs="Arial"/>
              </w:rPr>
            </w:pPr>
            <w:r>
              <w:rPr>
                <w:rFonts w:cs="Arial"/>
              </w:rPr>
              <w:t xml:space="preserve">(Annex </w:t>
            </w:r>
            <w:r w:rsidR="00B11302">
              <w:rPr>
                <w:rFonts w:cs="Arial"/>
              </w:rPr>
              <w:t>E</w:t>
            </w:r>
            <w:r>
              <w:rPr>
                <w:rFonts w:cs="Arial"/>
              </w:rPr>
              <w:t>)</w:t>
            </w:r>
            <w:bookmarkEnd w:id="14"/>
          </w:p>
        </w:tc>
        <w:tc>
          <w:tcPr>
            <w:tcW w:w="4395" w:type="dxa"/>
            <w:tcBorders>
              <w:top w:val="single" w:sz="4" w:space="0" w:color="auto"/>
              <w:left w:val="single" w:sz="4" w:space="0" w:color="auto"/>
              <w:bottom w:val="single" w:sz="4" w:space="0" w:color="auto"/>
              <w:right w:val="single" w:sz="4" w:space="0" w:color="auto"/>
            </w:tcBorders>
          </w:tcPr>
          <w:p w:rsidR="00F35BCE" w:rsidRDefault="00F35BCE">
            <w:pPr>
              <w:ind w:right="177"/>
              <w:jc w:val="both"/>
              <w:rPr>
                <w:rFonts w:cs="Arial"/>
              </w:rPr>
            </w:pPr>
            <w:r>
              <w:rPr>
                <w:rFonts w:cs="Arial"/>
              </w:rPr>
              <w:t>Vaccine information and post-vaccination advice for client</w:t>
            </w:r>
            <w:r w:rsidR="000B5580">
              <w:rPr>
                <w:rFonts w:cs="Arial"/>
              </w:rPr>
              <w:t>, if necessary</w:t>
            </w:r>
          </w:p>
          <w:p w:rsidR="00F35BCE" w:rsidRDefault="00F35BCE">
            <w:pPr>
              <w:jc w:val="both"/>
              <w:rPr>
                <w:rFonts w:cs="Arial"/>
              </w:rPr>
            </w:pPr>
          </w:p>
          <w:p w:rsidR="00F35BCE" w:rsidRDefault="00F35BCE">
            <w:pPr>
              <w:ind w:right="603"/>
              <w:jc w:val="both"/>
              <w:rPr>
                <w:rFonts w:cs="Arial"/>
              </w:rPr>
            </w:pPr>
          </w:p>
        </w:tc>
        <w:tc>
          <w:tcPr>
            <w:tcW w:w="2409" w:type="dxa"/>
            <w:tcBorders>
              <w:top w:val="single" w:sz="4" w:space="0" w:color="auto"/>
              <w:left w:val="single" w:sz="4" w:space="0" w:color="auto"/>
              <w:bottom w:val="single" w:sz="4" w:space="0" w:color="auto"/>
              <w:right w:val="single" w:sz="4" w:space="0" w:color="auto"/>
            </w:tcBorders>
            <w:hideMark/>
          </w:tcPr>
          <w:p w:rsidR="00F35BCE" w:rsidRDefault="00ED3F73">
            <w:pPr>
              <w:pStyle w:val="ListParagraph"/>
              <w:ind w:left="0"/>
              <w:jc w:val="both"/>
              <w:rPr>
                <w:rFonts w:cs="Arial"/>
                <w:color w:val="0070C0"/>
              </w:rPr>
            </w:pPr>
            <w:r>
              <w:rPr>
                <w:rFonts w:cs="Arial"/>
                <w:color w:val="0070C0"/>
              </w:rPr>
              <w:object w:dxaOrig="1508" w:dyaOrig="983" w14:anchorId="707CD818">
                <v:shape id="_x0000_i1034" type="#_x0000_t75" style="width:76pt;height:49pt" o:ole="">
                  <v:imagedata r:id="rId31" o:title=""/>
                </v:shape>
                <o:OLEObject Type="Embed" ProgID="AcroExch.Document.DC" ShapeID="_x0000_i1034" DrawAspect="Icon" ObjectID="_1783446650" r:id="rId32"/>
              </w:object>
            </w:r>
          </w:p>
        </w:tc>
      </w:tr>
      <w:tr w:rsidR="00F35BCE" w:rsidTr="00AB0A8B">
        <w:tc>
          <w:tcPr>
            <w:tcW w:w="1696" w:type="dxa"/>
            <w:tcBorders>
              <w:top w:val="single" w:sz="4" w:space="0" w:color="auto"/>
              <w:left w:val="single" w:sz="4" w:space="0" w:color="auto"/>
              <w:bottom w:val="single" w:sz="4" w:space="0" w:color="auto"/>
              <w:right w:val="single" w:sz="4" w:space="0" w:color="auto"/>
            </w:tcBorders>
            <w:hideMark/>
          </w:tcPr>
          <w:p w:rsidR="00F35BCE" w:rsidRDefault="00F35BCE">
            <w:pPr>
              <w:pStyle w:val="ListParagraph"/>
              <w:ind w:left="0"/>
              <w:jc w:val="both"/>
              <w:rPr>
                <w:rFonts w:cs="Arial"/>
              </w:rPr>
            </w:pPr>
            <w:bookmarkStart w:id="15" w:name="_Hlk87342878"/>
            <w:r>
              <w:rPr>
                <w:rFonts w:cs="Arial"/>
              </w:rPr>
              <w:t>Vaccination Screening Form</w:t>
            </w:r>
          </w:p>
          <w:p w:rsidR="00F35BCE" w:rsidRDefault="00F35BCE">
            <w:pPr>
              <w:pStyle w:val="ListParagraph"/>
              <w:ind w:left="0"/>
              <w:jc w:val="both"/>
              <w:rPr>
                <w:rFonts w:cs="Arial"/>
              </w:rPr>
            </w:pPr>
            <w:r>
              <w:rPr>
                <w:rFonts w:cs="Arial"/>
              </w:rPr>
              <w:t xml:space="preserve">(Annex </w:t>
            </w:r>
            <w:r w:rsidR="00B11302">
              <w:rPr>
                <w:rFonts w:cs="Arial"/>
              </w:rPr>
              <w:t>F</w:t>
            </w:r>
            <w:r>
              <w:rPr>
                <w:rFonts w:cs="Arial"/>
              </w:rPr>
              <w:t>)</w:t>
            </w:r>
            <w:bookmarkEnd w:id="15"/>
          </w:p>
        </w:tc>
        <w:tc>
          <w:tcPr>
            <w:tcW w:w="4395" w:type="dxa"/>
            <w:tcBorders>
              <w:top w:val="single" w:sz="4" w:space="0" w:color="auto"/>
              <w:left w:val="single" w:sz="4" w:space="0" w:color="auto"/>
              <w:bottom w:val="single" w:sz="4" w:space="0" w:color="auto"/>
              <w:right w:val="single" w:sz="4" w:space="0" w:color="auto"/>
            </w:tcBorders>
            <w:hideMark/>
          </w:tcPr>
          <w:p w:rsidR="00F35BCE" w:rsidRDefault="00F35BCE">
            <w:pPr>
              <w:pStyle w:val="ListParagraph"/>
              <w:ind w:left="0" w:right="313"/>
              <w:jc w:val="both"/>
              <w:rPr>
                <w:rFonts w:cs="Arial"/>
              </w:rPr>
            </w:pPr>
            <w:r>
              <w:rPr>
                <w:rFonts w:cs="Arial"/>
              </w:rPr>
              <w:t>Reference of the minimum dataset for various uses, including registration, declaration of contraindications, indication of consent, medical record documentation, and vaccination procedure medical record documentation</w:t>
            </w:r>
          </w:p>
        </w:tc>
        <w:tc>
          <w:tcPr>
            <w:tcW w:w="2409" w:type="dxa"/>
            <w:tcBorders>
              <w:top w:val="single" w:sz="4" w:space="0" w:color="auto"/>
              <w:left w:val="single" w:sz="4" w:space="0" w:color="auto"/>
              <w:bottom w:val="single" w:sz="4" w:space="0" w:color="auto"/>
              <w:right w:val="single" w:sz="4" w:space="0" w:color="auto"/>
            </w:tcBorders>
            <w:hideMark/>
          </w:tcPr>
          <w:p w:rsidR="00F35BCE" w:rsidRDefault="0076085D">
            <w:pPr>
              <w:pStyle w:val="ListParagraph"/>
              <w:ind w:left="0"/>
              <w:jc w:val="both"/>
              <w:rPr>
                <w:rFonts w:cs="Arial"/>
                <w:color w:val="0070C0"/>
              </w:rPr>
            </w:pPr>
            <w:r>
              <w:rPr>
                <w:rFonts w:cs="Arial"/>
                <w:color w:val="0070C0"/>
              </w:rPr>
              <w:object w:dxaOrig="1508" w:dyaOrig="983" w14:anchorId="02FCADF9">
                <v:shape id="_x0000_i1035" type="#_x0000_t75" style="width:76pt;height:49.5pt" o:ole="">
                  <v:imagedata r:id="rId33" o:title=""/>
                </v:shape>
                <o:OLEObject Type="Embed" ProgID="AcroExch.Document.DC" ShapeID="_x0000_i1035" DrawAspect="Icon" ObjectID="_1783446651" r:id="rId34"/>
              </w:object>
            </w:r>
          </w:p>
        </w:tc>
      </w:tr>
      <w:tr w:rsidR="00F35BCE" w:rsidTr="00AB0A8B">
        <w:tc>
          <w:tcPr>
            <w:tcW w:w="1696" w:type="dxa"/>
            <w:tcBorders>
              <w:top w:val="single" w:sz="4" w:space="0" w:color="auto"/>
              <w:left w:val="single" w:sz="4" w:space="0" w:color="auto"/>
              <w:bottom w:val="single" w:sz="4" w:space="0" w:color="auto"/>
              <w:right w:val="single" w:sz="4" w:space="0" w:color="auto"/>
            </w:tcBorders>
            <w:hideMark/>
          </w:tcPr>
          <w:p w:rsidR="00F35BCE" w:rsidRDefault="00F35BCE">
            <w:pPr>
              <w:pStyle w:val="ListParagraph"/>
              <w:ind w:left="0"/>
              <w:jc w:val="both"/>
              <w:rPr>
                <w:rFonts w:cs="Arial"/>
              </w:rPr>
            </w:pPr>
            <w:r>
              <w:rPr>
                <w:rFonts w:cs="Arial"/>
              </w:rPr>
              <w:t>Vaccination Card</w:t>
            </w:r>
          </w:p>
          <w:p w:rsidR="00F35BCE" w:rsidRDefault="00F35BCE">
            <w:pPr>
              <w:pStyle w:val="ListParagraph"/>
              <w:ind w:left="0"/>
              <w:jc w:val="both"/>
              <w:rPr>
                <w:rFonts w:cs="Arial"/>
              </w:rPr>
            </w:pPr>
            <w:r>
              <w:rPr>
                <w:rFonts w:cs="Arial"/>
              </w:rPr>
              <w:t xml:space="preserve">(Annex </w:t>
            </w:r>
            <w:r w:rsidR="00B11302">
              <w:rPr>
                <w:rFonts w:cs="Arial"/>
              </w:rPr>
              <w:t>G</w:t>
            </w:r>
            <w:r>
              <w:rPr>
                <w:rFonts w:cs="Arial"/>
              </w:rPr>
              <w:t>)</w:t>
            </w:r>
          </w:p>
        </w:tc>
        <w:tc>
          <w:tcPr>
            <w:tcW w:w="4395" w:type="dxa"/>
            <w:tcBorders>
              <w:top w:val="single" w:sz="4" w:space="0" w:color="auto"/>
              <w:left w:val="single" w:sz="4" w:space="0" w:color="auto"/>
              <w:bottom w:val="single" w:sz="4" w:space="0" w:color="auto"/>
              <w:right w:val="single" w:sz="4" w:space="0" w:color="auto"/>
            </w:tcBorders>
          </w:tcPr>
          <w:p w:rsidR="00F35BCE" w:rsidRDefault="00F35BCE">
            <w:pPr>
              <w:pStyle w:val="ListParagraph"/>
              <w:ind w:left="0"/>
              <w:jc w:val="both"/>
              <w:rPr>
                <w:rFonts w:cs="Arial"/>
              </w:rPr>
            </w:pPr>
            <w:r>
              <w:rPr>
                <w:rFonts w:cs="Arial"/>
              </w:rPr>
              <w:t xml:space="preserve">Vaccination record for client and appointment reminder for subsequent </w:t>
            </w:r>
            <w:r w:rsidR="000B5580">
              <w:rPr>
                <w:rFonts w:cs="Arial"/>
              </w:rPr>
              <w:t>doses</w:t>
            </w:r>
            <w:r>
              <w:rPr>
                <w:rFonts w:cs="Arial"/>
              </w:rPr>
              <w:t>, if any.</w:t>
            </w:r>
          </w:p>
          <w:p w:rsidR="006F53B8" w:rsidRDefault="006F53B8" w:rsidP="000B5580">
            <w:pPr>
              <w:pStyle w:val="ListParagraph"/>
              <w:ind w:left="0"/>
              <w:rPr>
                <w:rFonts w:cs="Arial"/>
              </w:rPr>
            </w:pPr>
          </w:p>
          <w:p w:rsidR="00F35BCE" w:rsidRDefault="00F35BCE" w:rsidP="000B5580">
            <w:pPr>
              <w:pStyle w:val="ListParagraph"/>
              <w:ind w:left="0"/>
              <w:rPr>
                <w:rFonts w:cs="Arial"/>
              </w:rPr>
            </w:pPr>
            <w:r>
              <w:rPr>
                <w:rFonts w:cs="Arial"/>
              </w:rPr>
              <w:t>To be issued to client after the vaccination is administered</w:t>
            </w:r>
            <w:r w:rsidR="000B5580">
              <w:rPr>
                <w:rFonts w:cs="Arial"/>
              </w:rPr>
              <w:t>, if required</w:t>
            </w:r>
            <w:r>
              <w:rPr>
                <w:rFonts w:cs="Arial"/>
              </w:rPr>
              <w:t>. Vaccination Card is not meant to be used for travel purposes/proof of vaccination; client may request for a digital vaccination certificate from</w:t>
            </w:r>
            <w:r w:rsidR="000B5580">
              <w:rPr>
                <w:rFonts w:cs="Arial"/>
              </w:rPr>
              <w:t xml:space="preserve"> the</w:t>
            </w:r>
            <w:r>
              <w:rPr>
                <w:rFonts w:cs="Arial"/>
              </w:rPr>
              <w:t xml:space="preserve"> Notαrise</w:t>
            </w:r>
            <w:r w:rsidR="000B5580">
              <w:rPr>
                <w:rFonts w:cs="Arial"/>
              </w:rPr>
              <w:t xml:space="preserve"> website</w:t>
            </w:r>
            <w:r>
              <w:rPr>
                <w:rFonts w:cs="Arial"/>
              </w:rPr>
              <w:t xml:space="preserve"> (</w:t>
            </w:r>
            <w:hyperlink r:id="rId35" w:history="1">
              <w:r>
                <w:rPr>
                  <w:rStyle w:val="Hyperlink"/>
                  <w:rFonts w:cs="Arial"/>
                </w:rPr>
                <w:t>https://www.notarise.gov.sg</w:t>
              </w:r>
            </w:hyperlink>
            <w:r>
              <w:rPr>
                <w:rFonts w:cs="Arial"/>
              </w:rPr>
              <w:t>)</w:t>
            </w:r>
          </w:p>
        </w:tc>
        <w:tc>
          <w:tcPr>
            <w:tcW w:w="2409" w:type="dxa"/>
            <w:tcBorders>
              <w:top w:val="single" w:sz="4" w:space="0" w:color="auto"/>
              <w:left w:val="single" w:sz="4" w:space="0" w:color="auto"/>
              <w:bottom w:val="single" w:sz="4" w:space="0" w:color="auto"/>
              <w:right w:val="single" w:sz="4" w:space="0" w:color="auto"/>
            </w:tcBorders>
            <w:hideMark/>
          </w:tcPr>
          <w:p w:rsidR="00F35BCE" w:rsidRDefault="00ED3F73">
            <w:pPr>
              <w:jc w:val="both"/>
              <w:rPr>
                <w:rFonts w:cs="Arial"/>
                <w:color w:val="0070C0"/>
              </w:rPr>
            </w:pPr>
            <w:r>
              <w:rPr>
                <w:rFonts w:cs="Arial"/>
                <w:color w:val="0070C0"/>
              </w:rPr>
              <w:object w:dxaOrig="1508" w:dyaOrig="983" w14:anchorId="64C8F691">
                <v:shape id="_x0000_i1036" type="#_x0000_t75" style="width:76pt;height:49pt" o:ole="">
                  <v:imagedata r:id="rId36" o:title=""/>
                </v:shape>
                <o:OLEObject Type="Embed" ProgID="AcroExch.Document.DC" ShapeID="_x0000_i1036" DrawAspect="Icon" ObjectID="_1783446652" r:id="rId37"/>
              </w:object>
            </w:r>
          </w:p>
        </w:tc>
      </w:tr>
    </w:tbl>
    <w:p w:rsidR="00F35BCE" w:rsidRDefault="00F35BCE" w:rsidP="00F35BCE">
      <w:pPr>
        <w:jc w:val="both"/>
        <w:rPr>
          <w:rFonts w:cs="Arial"/>
          <w:b/>
          <w:bCs/>
        </w:rPr>
      </w:pPr>
      <w:bookmarkStart w:id="16" w:name="_Hlk66745653"/>
      <w:bookmarkStart w:id="17" w:name="_Hlk64895521"/>
    </w:p>
    <w:p w:rsidR="00F35BCE" w:rsidRDefault="00F35BCE" w:rsidP="00F35BCE">
      <w:pPr>
        <w:pStyle w:val="ListParagraph"/>
        <w:ind w:left="540"/>
        <w:jc w:val="both"/>
        <w:rPr>
          <w:rFonts w:cs="Arial"/>
          <w:b/>
          <w:bCs/>
        </w:rPr>
      </w:pPr>
      <w:r>
        <w:rPr>
          <w:rFonts w:cs="Arial"/>
          <w:b/>
          <w:bCs/>
        </w:rPr>
        <w:t>Vaccination Screening Form</w:t>
      </w:r>
    </w:p>
    <w:bookmarkEnd w:id="16"/>
    <w:p w:rsidR="00F35BCE" w:rsidRDefault="00F35BCE" w:rsidP="00F35BCE">
      <w:pPr>
        <w:pStyle w:val="ListParagraph"/>
        <w:ind w:left="540"/>
        <w:jc w:val="both"/>
        <w:rPr>
          <w:rFonts w:cs="Arial"/>
          <w:b/>
          <w:bCs/>
        </w:rPr>
      </w:pPr>
    </w:p>
    <w:p w:rsidR="00F35BCE" w:rsidRDefault="00F35BCE" w:rsidP="00667D22">
      <w:pPr>
        <w:pStyle w:val="ListParagraph"/>
        <w:numPr>
          <w:ilvl w:val="1"/>
          <w:numId w:val="26"/>
        </w:numPr>
        <w:jc w:val="both"/>
        <w:rPr>
          <w:rFonts w:cs="Arial"/>
        </w:rPr>
      </w:pPr>
      <w:bookmarkStart w:id="18" w:name="_Hlk67150035"/>
      <w:r>
        <w:rPr>
          <w:rFonts w:cs="Arial"/>
        </w:rPr>
        <w:t>If a client has been assessed to be ineligible or has to be deferred for vaccination, the screening Doctor/Nurse should reflect the associated reason/medical conditions on the GPConnect Lite/S3/EMR system as follows:</w:t>
      </w:r>
    </w:p>
    <w:p w:rsidR="00F35BCE" w:rsidRDefault="00F35BCE" w:rsidP="00F35BCE">
      <w:pPr>
        <w:pStyle w:val="ListParagraph"/>
        <w:numPr>
          <w:ilvl w:val="0"/>
          <w:numId w:val="42"/>
        </w:numPr>
        <w:ind w:left="900"/>
        <w:jc w:val="both"/>
        <w:rPr>
          <w:rFonts w:cs="Arial"/>
        </w:rPr>
      </w:pPr>
      <w:r>
        <w:rPr>
          <w:rFonts w:cs="Arial"/>
        </w:rPr>
        <w:t>The reasons/medical conditions</w:t>
      </w:r>
      <w:r>
        <w:rPr>
          <w:vertAlign w:val="superscript"/>
        </w:rPr>
        <w:footnoteReference w:id="2"/>
      </w:r>
      <w:r>
        <w:rPr>
          <w:rFonts w:cs="Arial"/>
          <w:vertAlign w:val="superscript"/>
        </w:rPr>
        <w:t xml:space="preserve"> </w:t>
      </w:r>
      <w:r>
        <w:rPr>
          <w:rFonts w:cs="Arial"/>
        </w:rPr>
        <w:t>should be aligned to the latest “Definition of medical ineligibility for all COVID-19 vaccines under NVP” in MOH Circulars, last updated circular no. 183/2021</w:t>
      </w:r>
    </w:p>
    <w:p w:rsidR="00F35BCE" w:rsidRDefault="00B029EB" w:rsidP="00F35BCE">
      <w:pPr>
        <w:pStyle w:val="ListParagraph"/>
        <w:ind w:left="900"/>
        <w:jc w:val="both"/>
        <w:rPr>
          <w:rFonts w:eastAsiaTheme="majorEastAsia"/>
        </w:rPr>
      </w:pPr>
      <w:r>
        <w:rPr>
          <w:rFonts w:eastAsiaTheme="majorEastAsia"/>
        </w:rPr>
        <w:object w:dxaOrig="1376" w:dyaOrig="899" w14:anchorId="2F24745A">
          <v:shape id="_x0000_i1037" type="#_x0000_t75" style="width:69pt;height:45pt" o:ole="">
            <v:imagedata r:id="rId38" o:title=""/>
          </v:shape>
          <o:OLEObject Type="Embed" ProgID="AcroExch.Document.DC" ShapeID="_x0000_i1037" DrawAspect="Icon" ObjectID="_1783446653" r:id="rId39"/>
        </w:object>
      </w:r>
    </w:p>
    <w:p w:rsidR="00F35BCE" w:rsidRDefault="00F35BCE" w:rsidP="00F35BCE">
      <w:pPr>
        <w:pStyle w:val="ListParagraph"/>
        <w:numPr>
          <w:ilvl w:val="0"/>
          <w:numId w:val="42"/>
        </w:numPr>
        <w:ind w:left="900"/>
        <w:jc w:val="both"/>
        <w:rPr>
          <w:rFonts w:cs="Arial"/>
        </w:rPr>
      </w:pPr>
      <w:r>
        <w:rPr>
          <w:rFonts w:cs="Arial"/>
        </w:rPr>
        <w:t>The screening Doctor/Nurse should clearly communicate the said reasons to the client.</w:t>
      </w:r>
    </w:p>
    <w:p w:rsidR="00F35BCE" w:rsidRDefault="00F35BCE" w:rsidP="00F35BCE">
      <w:pPr>
        <w:pStyle w:val="ListParagraph"/>
        <w:ind w:left="900"/>
        <w:jc w:val="both"/>
        <w:rPr>
          <w:rFonts w:cs="Arial"/>
        </w:rPr>
      </w:pPr>
    </w:p>
    <w:p w:rsidR="00F35BCE" w:rsidRPr="00D24A82" w:rsidRDefault="00F35BCE" w:rsidP="00667D22">
      <w:pPr>
        <w:pStyle w:val="ListParagraph"/>
        <w:numPr>
          <w:ilvl w:val="1"/>
          <w:numId w:val="26"/>
        </w:numPr>
        <w:jc w:val="both"/>
        <w:rPr>
          <w:rFonts w:cs="Arial"/>
        </w:rPr>
      </w:pPr>
      <w:r>
        <w:rPr>
          <w:rFonts w:cs="Arial"/>
        </w:rPr>
        <w:t>Clients undergoing the second/</w:t>
      </w:r>
      <w:r w:rsidR="000B5580">
        <w:rPr>
          <w:rFonts w:cs="Arial"/>
        </w:rPr>
        <w:t>additional</w:t>
      </w:r>
      <w:r>
        <w:rPr>
          <w:rFonts w:cs="Arial"/>
        </w:rPr>
        <w:t xml:space="preserve"> dose do not need to fill up a new Vaccination Screening Form. </w:t>
      </w:r>
      <w:r w:rsidRPr="00D24A82">
        <w:rPr>
          <w:rFonts w:cs="Arial"/>
        </w:rPr>
        <w:t>Vaccination Providers should continue to exercise due diligence to assess clients during screening/triaging. This includes questioning clients as to whether they experienced anaphylaxis after the first/second dose. The Vaccination Batch Number should continue to be recorded, as new batches will be distributed to institutions in future.</w:t>
      </w:r>
    </w:p>
    <w:bookmarkEnd w:id="17"/>
    <w:bookmarkEnd w:id="18"/>
    <w:p w:rsidR="00F35BCE" w:rsidRPr="00D24A82" w:rsidRDefault="00F35BCE" w:rsidP="00F35BCE">
      <w:pPr>
        <w:pStyle w:val="ListParagraph"/>
        <w:ind w:left="567"/>
        <w:jc w:val="both"/>
        <w:rPr>
          <w:rFonts w:cs="Arial"/>
        </w:rPr>
      </w:pPr>
    </w:p>
    <w:p w:rsidR="00F35BCE" w:rsidRPr="00D24A82" w:rsidRDefault="00F35BCE" w:rsidP="00F35BCE">
      <w:pPr>
        <w:pStyle w:val="ListParagraph"/>
        <w:ind w:left="540"/>
        <w:jc w:val="both"/>
        <w:rPr>
          <w:rFonts w:cs="Arial"/>
          <w:b/>
          <w:bCs/>
        </w:rPr>
      </w:pPr>
      <w:bookmarkStart w:id="19" w:name="_Hlk66745660"/>
      <w:r w:rsidRPr="00D24A82">
        <w:rPr>
          <w:rFonts w:cs="Arial"/>
          <w:b/>
          <w:bCs/>
        </w:rPr>
        <w:t>Daily Reporting Requirements</w:t>
      </w:r>
      <w:bookmarkEnd w:id="19"/>
    </w:p>
    <w:p w:rsidR="00F35BCE" w:rsidRPr="00D24A82" w:rsidRDefault="00F35BCE" w:rsidP="00F35BCE">
      <w:pPr>
        <w:pStyle w:val="ListParagraph"/>
        <w:ind w:left="540"/>
        <w:jc w:val="both"/>
        <w:rPr>
          <w:rFonts w:cs="Arial"/>
        </w:rPr>
      </w:pPr>
    </w:p>
    <w:p w:rsidR="00F35BCE" w:rsidRDefault="00F35BCE" w:rsidP="00667D22">
      <w:pPr>
        <w:pStyle w:val="ListParagraph"/>
        <w:numPr>
          <w:ilvl w:val="1"/>
          <w:numId w:val="26"/>
        </w:numPr>
        <w:jc w:val="both"/>
        <w:rPr>
          <w:rFonts w:cs="Arial"/>
        </w:rPr>
      </w:pPr>
      <w:r w:rsidRPr="00D24A82">
        <w:rPr>
          <w:rFonts w:cs="Arial"/>
        </w:rPr>
        <w:t>Vaccination Providers are required to submit daily reports to MOH VOC. The reporting requirements are as follows</w:t>
      </w:r>
      <w:r>
        <w:rPr>
          <w:rFonts w:cs="Arial"/>
        </w:rPr>
        <w:t>:</w:t>
      </w:r>
    </w:p>
    <w:p w:rsidR="00AD404D" w:rsidRDefault="00AD404D" w:rsidP="00F35BCE">
      <w:pPr>
        <w:pStyle w:val="ListParagraph"/>
        <w:ind w:left="540"/>
        <w:jc w:val="both"/>
        <w:rPr>
          <w:rFonts w:cs="Arial"/>
        </w:rPr>
      </w:pPr>
    </w:p>
    <w:tbl>
      <w:tblPr>
        <w:tblStyle w:val="TableGrid"/>
        <w:tblW w:w="8445" w:type="dxa"/>
        <w:tblInd w:w="607" w:type="dxa"/>
        <w:tblLayout w:type="fixed"/>
        <w:tblLook w:val="04A0" w:firstRow="1" w:lastRow="0" w:firstColumn="1" w:lastColumn="0" w:noHBand="0" w:noVBand="1"/>
      </w:tblPr>
      <w:tblGrid>
        <w:gridCol w:w="4222"/>
        <w:gridCol w:w="4223"/>
      </w:tblGrid>
      <w:tr w:rsidR="00F35BCE" w:rsidTr="00F35BCE">
        <w:tc>
          <w:tcPr>
            <w:tcW w:w="4224" w:type="dxa"/>
            <w:tcBorders>
              <w:top w:val="single" w:sz="4" w:space="0" w:color="auto"/>
              <w:left w:val="single" w:sz="4" w:space="0" w:color="auto"/>
              <w:bottom w:val="single" w:sz="4" w:space="0" w:color="auto"/>
              <w:right w:val="single" w:sz="4" w:space="0" w:color="auto"/>
            </w:tcBorders>
            <w:hideMark/>
          </w:tcPr>
          <w:p w:rsidR="00F35BCE" w:rsidRDefault="00F35BCE">
            <w:pPr>
              <w:pStyle w:val="ListParagraph"/>
              <w:ind w:left="0"/>
              <w:jc w:val="both"/>
              <w:rPr>
                <w:rFonts w:cs="Arial"/>
              </w:rPr>
            </w:pPr>
            <w:r>
              <w:rPr>
                <w:rFonts w:cs="Arial"/>
              </w:rPr>
              <w:br w:type="page"/>
            </w:r>
            <w:r>
              <w:rPr>
                <w:rFonts w:cs="Arial"/>
                <w:b/>
                <w:bCs/>
              </w:rPr>
              <w:t>Document</w:t>
            </w:r>
          </w:p>
        </w:tc>
        <w:tc>
          <w:tcPr>
            <w:tcW w:w="4225" w:type="dxa"/>
            <w:tcBorders>
              <w:top w:val="single" w:sz="4" w:space="0" w:color="auto"/>
              <w:left w:val="single" w:sz="4" w:space="0" w:color="auto"/>
              <w:bottom w:val="single" w:sz="4" w:space="0" w:color="auto"/>
              <w:right w:val="single" w:sz="4" w:space="0" w:color="auto"/>
            </w:tcBorders>
            <w:hideMark/>
          </w:tcPr>
          <w:p w:rsidR="00F35BCE" w:rsidRDefault="00F35BCE">
            <w:pPr>
              <w:pStyle w:val="ListParagraph"/>
              <w:ind w:left="0"/>
              <w:jc w:val="both"/>
              <w:rPr>
                <w:rFonts w:cs="Arial"/>
              </w:rPr>
            </w:pPr>
            <w:r>
              <w:rPr>
                <w:rFonts w:cs="Arial"/>
                <w:b/>
                <w:bCs/>
              </w:rPr>
              <w:t>Attachment</w:t>
            </w:r>
          </w:p>
        </w:tc>
      </w:tr>
      <w:tr w:rsidR="00F35BCE" w:rsidTr="00F35BCE">
        <w:tc>
          <w:tcPr>
            <w:tcW w:w="4224" w:type="dxa"/>
            <w:tcBorders>
              <w:top w:val="single" w:sz="4" w:space="0" w:color="auto"/>
              <w:left w:val="single" w:sz="4" w:space="0" w:color="auto"/>
              <w:bottom w:val="single" w:sz="4" w:space="0" w:color="auto"/>
              <w:right w:val="single" w:sz="4" w:space="0" w:color="auto"/>
            </w:tcBorders>
            <w:hideMark/>
          </w:tcPr>
          <w:p w:rsidR="00F35BCE" w:rsidRDefault="00F35BCE">
            <w:pPr>
              <w:pStyle w:val="ListParagraph"/>
              <w:ind w:left="0"/>
              <w:jc w:val="both"/>
              <w:rPr>
                <w:rFonts w:cs="Arial"/>
              </w:rPr>
            </w:pPr>
            <w:r>
              <w:rPr>
                <w:rFonts w:cs="Arial"/>
              </w:rPr>
              <w:t>Daily Reporting Requirements</w:t>
            </w:r>
          </w:p>
          <w:p w:rsidR="00F35BCE" w:rsidRDefault="00F35BCE">
            <w:pPr>
              <w:pStyle w:val="ListParagraph"/>
              <w:ind w:left="0"/>
              <w:jc w:val="both"/>
              <w:rPr>
                <w:rFonts w:cs="Arial"/>
              </w:rPr>
            </w:pPr>
            <w:r>
              <w:rPr>
                <w:rFonts w:cs="Arial"/>
              </w:rPr>
              <w:t xml:space="preserve">(Annex </w:t>
            </w:r>
            <w:r w:rsidR="003915B0">
              <w:rPr>
                <w:rFonts w:cs="Arial"/>
              </w:rPr>
              <w:t>H</w:t>
            </w:r>
            <w:r>
              <w:rPr>
                <w:rFonts w:cs="Arial"/>
              </w:rPr>
              <w:t>)</w:t>
            </w:r>
          </w:p>
        </w:tc>
        <w:tc>
          <w:tcPr>
            <w:tcW w:w="4225" w:type="dxa"/>
            <w:tcBorders>
              <w:top w:val="single" w:sz="4" w:space="0" w:color="auto"/>
              <w:left w:val="single" w:sz="4" w:space="0" w:color="auto"/>
              <w:bottom w:val="single" w:sz="4" w:space="0" w:color="auto"/>
              <w:right w:val="single" w:sz="4" w:space="0" w:color="auto"/>
            </w:tcBorders>
            <w:hideMark/>
          </w:tcPr>
          <w:p w:rsidR="00F35BCE" w:rsidRDefault="003915B0">
            <w:pPr>
              <w:pStyle w:val="ListParagraph"/>
              <w:ind w:left="0"/>
              <w:jc w:val="both"/>
              <w:rPr>
                <w:rFonts w:cs="Arial"/>
              </w:rPr>
            </w:pPr>
            <w:r>
              <w:rPr>
                <w:rFonts w:cs="Arial"/>
              </w:rPr>
              <w:object w:dxaOrig="1508" w:dyaOrig="984" w14:anchorId="41632B75">
                <v:shape id="_x0000_i1038" type="#_x0000_t75" style="width:76pt;height:49pt" o:ole="">
                  <v:imagedata r:id="rId40" o:title=""/>
                </v:shape>
                <o:OLEObject Type="Embed" ProgID="PowerPoint.Show.12" ShapeID="_x0000_i1038" DrawAspect="Icon" ObjectID="_1783446654" r:id="rId41"/>
              </w:object>
            </w:r>
          </w:p>
        </w:tc>
      </w:tr>
    </w:tbl>
    <w:p w:rsidR="00F35BCE" w:rsidRPr="00AB0A8B" w:rsidRDefault="00F35BCE" w:rsidP="00AB0A8B">
      <w:pPr>
        <w:jc w:val="both"/>
        <w:rPr>
          <w:rFonts w:cs="Arial"/>
          <w:b/>
          <w:bCs/>
        </w:rPr>
      </w:pPr>
      <w:bookmarkStart w:id="20" w:name="_Hlk66745681"/>
      <w:bookmarkStart w:id="21" w:name="_Hlk67150111"/>
    </w:p>
    <w:p w:rsidR="00D961B6" w:rsidRPr="00AA2484" w:rsidRDefault="00D961B6" w:rsidP="00D961B6">
      <w:pPr>
        <w:pStyle w:val="Heading1"/>
        <w:spacing w:before="0"/>
        <w:jc w:val="both"/>
        <w:rPr>
          <w:sz w:val="22"/>
          <w:szCs w:val="22"/>
        </w:rPr>
      </w:pPr>
      <w:bookmarkStart w:id="22" w:name="_Hlk61449695"/>
      <w:bookmarkStart w:id="23" w:name="_Hlk61449152"/>
      <w:bookmarkStart w:id="24" w:name="_Hlk79587669"/>
      <w:bookmarkEnd w:id="20"/>
      <w:bookmarkEnd w:id="21"/>
      <w:r w:rsidRPr="00AA2484">
        <w:rPr>
          <w:sz w:val="22"/>
          <w:szCs w:val="22"/>
        </w:rPr>
        <w:t>Logistics</w:t>
      </w:r>
    </w:p>
    <w:p w:rsidR="00D961B6" w:rsidRPr="00B3065A" w:rsidRDefault="00D961B6" w:rsidP="00D961B6">
      <w:pPr>
        <w:jc w:val="both"/>
        <w:rPr>
          <w:rFonts w:cs="Arial"/>
        </w:rPr>
      </w:pPr>
    </w:p>
    <w:p w:rsidR="00D961B6" w:rsidRPr="00B3065A" w:rsidRDefault="00D961B6" w:rsidP="00D961B6">
      <w:pPr>
        <w:pStyle w:val="ListParagraph"/>
        <w:numPr>
          <w:ilvl w:val="0"/>
          <w:numId w:val="4"/>
        </w:numPr>
        <w:contextualSpacing w:val="0"/>
        <w:jc w:val="both"/>
        <w:rPr>
          <w:rFonts w:cs="Arial"/>
          <w:vanish/>
        </w:rPr>
      </w:pPr>
    </w:p>
    <w:p w:rsidR="00D961B6" w:rsidRPr="00B3065A" w:rsidRDefault="00D961B6" w:rsidP="00D961B6">
      <w:pPr>
        <w:pStyle w:val="ListParagraph"/>
        <w:ind w:left="540"/>
        <w:contextualSpacing w:val="0"/>
        <w:jc w:val="both"/>
        <w:rPr>
          <w:rFonts w:cs="Arial"/>
          <w:b/>
          <w:bCs/>
        </w:rPr>
      </w:pPr>
      <w:r w:rsidRPr="00B3065A">
        <w:rPr>
          <w:rFonts w:cs="Arial"/>
          <w:b/>
          <w:bCs/>
        </w:rPr>
        <w:t>Vaccine Handling and Storage</w:t>
      </w:r>
    </w:p>
    <w:p w:rsidR="00D961B6" w:rsidRPr="00B3065A" w:rsidRDefault="00D961B6" w:rsidP="00D961B6">
      <w:pPr>
        <w:pStyle w:val="ListParagraph"/>
        <w:ind w:left="567"/>
        <w:contextualSpacing w:val="0"/>
        <w:jc w:val="both"/>
        <w:rPr>
          <w:rFonts w:cs="Arial"/>
        </w:rPr>
      </w:pPr>
    </w:p>
    <w:p w:rsidR="00D961B6" w:rsidRPr="00AA2484" w:rsidRDefault="00D961B6" w:rsidP="00D961B6">
      <w:pPr>
        <w:pStyle w:val="ListParagraph"/>
        <w:numPr>
          <w:ilvl w:val="0"/>
          <w:numId w:val="1"/>
        </w:numPr>
        <w:contextualSpacing w:val="0"/>
        <w:jc w:val="both"/>
        <w:rPr>
          <w:rFonts w:cs="Arial"/>
          <w:vanish/>
        </w:rPr>
      </w:pPr>
    </w:p>
    <w:p w:rsidR="00D961B6" w:rsidRPr="00D24A82" w:rsidRDefault="00D961B6" w:rsidP="00D961B6">
      <w:pPr>
        <w:pStyle w:val="ListParagraph"/>
        <w:numPr>
          <w:ilvl w:val="1"/>
          <w:numId w:val="1"/>
        </w:numPr>
        <w:contextualSpacing w:val="0"/>
        <w:jc w:val="both"/>
        <w:rPr>
          <w:rFonts w:cs="Arial"/>
        </w:rPr>
      </w:pPr>
      <w:r w:rsidRPr="00D24A82">
        <w:rPr>
          <w:rFonts w:cs="Arial"/>
        </w:rPr>
        <w:t>Vaccination Providers shall adhere to the following vaccine storage guidelines.</w:t>
      </w:r>
    </w:p>
    <w:p w:rsidR="00D961B6" w:rsidRPr="00D24A82" w:rsidRDefault="00D961B6" w:rsidP="00D961B6">
      <w:pPr>
        <w:pStyle w:val="ListParagraph"/>
        <w:ind w:left="567"/>
        <w:contextualSpacing w:val="0"/>
        <w:jc w:val="both"/>
        <w:rPr>
          <w:rFonts w:cs="Arial"/>
        </w:rPr>
      </w:pPr>
    </w:p>
    <w:p w:rsidR="00D961B6" w:rsidRPr="00D24A82" w:rsidRDefault="00D961B6" w:rsidP="00D961B6">
      <w:pPr>
        <w:pStyle w:val="ListParagraph"/>
        <w:numPr>
          <w:ilvl w:val="0"/>
          <w:numId w:val="10"/>
        </w:numPr>
        <w:ind w:left="900"/>
        <w:contextualSpacing w:val="0"/>
        <w:jc w:val="both"/>
        <w:rPr>
          <w:rFonts w:cs="Arial"/>
        </w:rPr>
      </w:pPr>
      <w:r w:rsidRPr="00D24A82">
        <w:rPr>
          <w:rFonts w:cs="Arial"/>
        </w:rPr>
        <w:t>Unused vaccines vials should be stored in the refrigerator with a temperature maintained at between 2°C and 8°C and must be monitored. For refrigerators that do not have a temperature data logger, the internal temperature of the refrigerator where unopened vaccines are stored at should be recorded twice daily e.g. in the morning and evening.</w:t>
      </w:r>
    </w:p>
    <w:p w:rsidR="00D961B6" w:rsidRPr="00D24A82" w:rsidRDefault="00D961B6" w:rsidP="00D961B6">
      <w:pPr>
        <w:pStyle w:val="ListParagraph"/>
        <w:ind w:left="900"/>
        <w:contextualSpacing w:val="0"/>
        <w:jc w:val="both"/>
        <w:rPr>
          <w:rFonts w:cs="Arial"/>
        </w:rPr>
      </w:pPr>
    </w:p>
    <w:p w:rsidR="00D961B6" w:rsidRPr="00D24A82" w:rsidRDefault="00D961B6" w:rsidP="00D961B6">
      <w:pPr>
        <w:pStyle w:val="ListParagraph"/>
        <w:numPr>
          <w:ilvl w:val="0"/>
          <w:numId w:val="10"/>
        </w:numPr>
        <w:ind w:left="900"/>
        <w:contextualSpacing w:val="0"/>
        <w:jc w:val="both"/>
        <w:rPr>
          <w:rFonts w:cs="Arial"/>
        </w:rPr>
      </w:pPr>
      <w:r w:rsidRPr="00D24A82">
        <w:rPr>
          <w:rFonts w:cs="Arial"/>
        </w:rPr>
        <w:t>Care should be taken to protect the vaccine vials from light if the refrigerator door/window panel is transparent.</w:t>
      </w:r>
    </w:p>
    <w:p w:rsidR="00D961B6" w:rsidRPr="00D24A82" w:rsidRDefault="00D961B6" w:rsidP="00D961B6">
      <w:pPr>
        <w:pStyle w:val="ListParagraph"/>
        <w:ind w:left="900"/>
        <w:contextualSpacing w:val="0"/>
        <w:jc w:val="both"/>
        <w:rPr>
          <w:rFonts w:cs="Arial"/>
        </w:rPr>
      </w:pPr>
    </w:p>
    <w:p w:rsidR="00D961B6" w:rsidRPr="00D24A82" w:rsidRDefault="00D961B6" w:rsidP="00D961B6">
      <w:pPr>
        <w:pStyle w:val="ListParagraph"/>
        <w:numPr>
          <w:ilvl w:val="0"/>
          <w:numId w:val="10"/>
        </w:numPr>
        <w:ind w:left="900"/>
        <w:contextualSpacing w:val="0"/>
        <w:jc w:val="both"/>
        <w:rPr>
          <w:rFonts w:cs="Arial"/>
        </w:rPr>
      </w:pPr>
      <w:r w:rsidRPr="00D24A82">
        <w:rPr>
          <w:rFonts w:cs="Arial"/>
        </w:rPr>
        <w:t>Adopt first-expire-first-out system when retrieving vaccine vials from the refrigerator.</w:t>
      </w:r>
    </w:p>
    <w:p w:rsidR="00D961B6" w:rsidRPr="00D24A82" w:rsidRDefault="00D961B6" w:rsidP="00D961B6">
      <w:pPr>
        <w:pStyle w:val="ListParagraph"/>
        <w:ind w:left="851"/>
        <w:contextualSpacing w:val="0"/>
        <w:jc w:val="both"/>
        <w:rPr>
          <w:rFonts w:cs="Arial"/>
        </w:rPr>
      </w:pPr>
    </w:p>
    <w:p w:rsidR="00D961B6" w:rsidRPr="00AA2484" w:rsidRDefault="00D961B6" w:rsidP="00D961B6">
      <w:pPr>
        <w:pStyle w:val="ListParagraph"/>
        <w:numPr>
          <w:ilvl w:val="1"/>
          <w:numId w:val="1"/>
        </w:numPr>
        <w:contextualSpacing w:val="0"/>
        <w:jc w:val="both"/>
        <w:rPr>
          <w:rFonts w:cs="Arial"/>
        </w:rPr>
      </w:pPr>
      <w:r w:rsidRPr="00D24A82">
        <w:rPr>
          <w:rFonts w:cs="Arial"/>
        </w:rPr>
        <w:t>Vaccination Providers shall</w:t>
      </w:r>
      <w:r w:rsidRPr="00AA2484">
        <w:rPr>
          <w:rFonts w:cs="Arial"/>
        </w:rPr>
        <w:t xml:space="preserve"> adhere to the following vaccine handling guidelines.</w:t>
      </w:r>
    </w:p>
    <w:p w:rsidR="00D961B6" w:rsidRPr="00B3065A" w:rsidRDefault="00D961B6" w:rsidP="00D961B6">
      <w:pPr>
        <w:pStyle w:val="ListParagraph"/>
        <w:ind w:left="567"/>
        <w:contextualSpacing w:val="0"/>
        <w:jc w:val="both"/>
        <w:rPr>
          <w:rFonts w:cs="Arial"/>
        </w:rPr>
      </w:pPr>
    </w:p>
    <w:p w:rsidR="00D961B6" w:rsidRDefault="00D961B6" w:rsidP="00D961B6">
      <w:pPr>
        <w:pStyle w:val="ListParagraph"/>
        <w:numPr>
          <w:ilvl w:val="0"/>
          <w:numId w:val="11"/>
        </w:numPr>
        <w:ind w:left="900"/>
        <w:contextualSpacing w:val="0"/>
        <w:jc w:val="both"/>
        <w:rPr>
          <w:rFonts w:cs="Arial"/>
        </w:rPr>
      </w:pPr>
      <w:r w:rsidRPr="00B3065A">
        <w:rPr>
          <w:rFonts w:cs="Arial"/>
        </w:rPr>
        <w:t>Vaccines must always be protected from light when not being handled. Handling refers to the process of preparation (pre-filling the syringe) and administration of the vaccine.</w:t>
      </w:r>
    </w:p>
    <w:p w:rsidR="00D961B6" w:rsidRPr="00B3065A" w:rsidRDefault="00D961B6" w:rsidP="00D961B6">
      <w:pPr>
        <w:pStyle w:val="ListParagraph"/>
        <w:numPr>
          <w:ilvl w:val="0"/>
          <w:numId w:val="11"/>
        </w:numPr>
        <w:ind w:left="900"/>
        <w:contextualSpacing w:val="0"/>
        <w:jc w:val="both"/>
        <w:rPr>
          <w:rFonts w:cs="Arial"/>
        </w:rPr>
      </w:pPr>
      <w:r w:rsidRPr="00B3065A">
        <w:rPr>
          <w:rFonts w:cs="Arial"/>
        </w:rPr>
        <w:t>Vaccine vials should be visually inspected for discolouration, or particulates and before each syringe is filled up.</w:t>
      </w:r>
    </w:p>
    <w:p w:rsidR="00D961B6" w:rsidRPr="00B3065A" w:rsidRDefault="00D961B6" w:rsidP="00D961B6">
      <w:pPr>
        <w:pStyle w:val="ListParagraph"/>
        <w:ind w:left="900"/>
        <w:contextualSpacing w:val="0"/>
        <w:jc w:val="both"/>
        <w:rPr>
          <w:rFonts w:cs="Arial"/>
        </w:rPr>
      </w:pPr>
    </w:p>
    <w:p w:rsidR="00D961B6" w:rsidRPr="00B3065A" w:rsidRDefault="00D961B6" w:rsidP="00D961B6">
      <w:pPr>
        <w:pStyle w:val="ListParagraph"/>
        <w:numPr>
          <w:ilvl w:val="0"/>
          <w:numId w:val="11"/>
        </w:numPr>
        <w:ind w:left="900"/>
        <w:contextualSpacing w:val="0"/>
        <w:jc w:val="both"/>
        <w:rPr>
          <w:rFonts w:cs="Arial"/>
        </w:rPr>
      </w:pPr>
      <w:r w:rsidRPr="00B3065A">
        <w:rPr>
          <w:rFonts w:cs="Arial"/>
        </w:rPr>
        <w:t>When filling up the syringes, the dose in each syringe should be visually inspected by lifting up each syringe to check for (i) the correct final dosing volume, (ii) no discolouration and no particulates, and (iii) no air bubbles</w:t>
      </w:r>
    </w:p>
    <w:p w:rsidR="00D961B6" w:rsidRPr="00B3065A" w:rsidRDefault="00D961B6" w:rsidP="00D961B6">
      <w:pPr>
        <w:jc w:val="both"/>
        <w:rPr>
          <w:rFonts w:cs="Arial"/>
        </w:rPr>
      </w:pPr>
    </w:p>
    <w:p w:rsidR="00D961B6" w:rsidRPr="00B3065A" w:rsidRDefault="00D961B6" w:rsidP="00D961B6">
      <w:pPr>
        <w:pStyle w:val="ListParagraph"/>
        <w:ind w:left="540"/>
        <w:contextualSpacing w:val="0"/>
        <w:jc w:val="both"/>
        <w:rPr>
          <w:rFonts w:cs="Arial"/>
          <w:b/>
          <w:bCs/>
        </w:rPr>
      </w:pPr>
      <w:r w:rsidRPr="00B3065A">
        <w:rPr>
          <w:rFonts w:cs="Arial"/>
          <w:b/>
          <w:bCs/>
        </w:rPr>
        <w:t>Disposal of Used/Empty Vaccine Vials, Syringes and Needles</w:t>
      </w:r>
    </w:p>
    <w:p w:rsidR="00D961B6" w:rsidRPr="00B3065A" w:rsidRDefault="00D961B6" w:rsidP="00D961B6">
      <w:pPr>
        <w:pStyle w:val="ListParagraph"/>
        <w:ind w:left="567"/>
        <w:contextualSpacing w:val="0"/>
        <w:jc w:val="both"/>
        <w:rPr>
          <w:rFonts w:cs="Arial"/>
          <w:highlight w:val="yellow"/>
        </w:rPr>
      </w:pPr>
    </w:p>
    <w:p w:rsidR="00D961B6" w:rsidRPr="00AA2484" w:rsidRDefault="00D961B6" w:rsidP="00D961B6">
      <w:pPr>
        <w:pStyle w:val="ListParagraph"/>
        <w:numPr>
          <w:ilvl w:val="1"/>
          <w:numId w:val="1"/>
        </w:numPr>
        <w:contextualSpacing w:val="0"/>
        <w:jc w:val="both"/>
        <w:rPr>
          <w:rFonts w:cs="Arial"/>
        </w:rPr>
      </w:pPr>
      <w:r w:rsidRPr="00AA2484">
        <w:rPr>
          <w:rFonts w:cs="Arial"/>
        </w:rPr>
        <w:t>Used/empty vaccines vials are considered pharmaceutical waste. They should be collected in containers that are non-reactive, tamper-proof and designed to resist impact rupture and labelled with the proper colour code and symbol before disposal by a licensed biohazard waste collector.</w:t>
      </w:r>
    </w:p>
    <w:p w:rsidR="00D961B6" w:rsidRPr="00AA2484" w:rsidRDefault="00D961B6" w:rsidP="00D961B6">
      <w:pPr>
        <w:pStyle w:val="ListParagraph"/>
        <w:ind w:left="567"/>
        <w:contextualSpacing w:val="0"/>
        <w:jc w:val="both"/>
        <w:rPr>
          <w:rFonts w:cs="Arial"/>
        </w:rPr>
      </w:pPr>
    </w:p>
    <w:p w:rsidR="00D961B6" w:rsidRDefault="00D961B6" w:rsidP="00D961B6">
      <w:pPr>
        <w:pStyle w:val="ListParagraph"/>
        <w:numPr>
          <w:ilvl w:val="1"/>
          <w:numId w:val="1"/>
        </w:numPr>
        <w:contextualSpacing w:val="0"/>
        <w:jc w:val="both"/>
        <w:rPr>
          <w:rFonts w:cs="Arial"/>
        </w:rPr>
      </w:pPr>
      <w:r w:rsidRPr="00AA2484">
        <w:rPr>
          <w:rFonts w:cs="Arial"/>
        </w:rPr>
        <w:t>As COVID-19 vaccines delivered to vaccination sites are considered controlled consumables, used/empty vials should be properly accounted for and stored in a controlled environment before disposal to prevent unauthorised possession.</w:t>
      </w:r>
    </w:p>
    <w:p w:rsidR="00D961B6" w:rsidRPr="00AA2484" w:rsidRDefault="00D961B6" w:rsidP="00D961B6">
      <w:pPr>
        <w:pStyle w:val="ListParagraph"/>
        <w:ind w:left="567"/>
        <w:contextualSpacing w:val="0"/>
        <w:jc w:val="both"/>
        <w:rPr>
          <w:rFonts w:cs="Arial"/>
        </w:rPr>
      </w:pPr>
    </w:p>
    <w:p w:rsidR="00D961B6" w:rsidRDefault="00D961B6" w:rsidP="00D961B6">
      <w:pPr>
        <w:pStyle w:val="ListParagraph"/>
        <w:ind w:left="567"/>
        <w:contextualSpacing w:val="0"/>
        <w:jc w:val="both"/>
        <w:rPr>
          <w:rFonts w:cs="Arial"/>
        </w:rPr>
      </w:pPr>
      <w:r w:rsidRPr="00AA2484">
        <w:rPr>
          <w:rFonts w:cs="Arial"/>
        </w:rPr>
        <w:t>(Reference:</w:t>
      </w:r>
      <w:hyperlink r:id="rId42" w:history="1">
        <w:r w:rsidRPr="00AA2484">
          <w:rPr>
            <w:rStyle w:val="Hyperlink"/>
            <w:rFonts w:cs="Arial"/>
          </w:rPr>
          <w:t>https://www.straitstimes.com/singapore/consumer/surgical-masks-vaccines-among-counterfeit-goods-on-the-rise-online</w:t>
        </w:r>
      </w:hyperlink>
      <w:r w:rsidRPr="00AA2484">
        <w:rPr>
          <w:rFonts w:cs="Arial"/>
        </w:rPr>
        <w:t>)</w:t>
      </w:r>
    </w:p>
    <w:p w:rsidR="00D961B6" w:rsidRPr="00B3065A" w:rsidRDefault="00D961B6" w:rsidP="00D961B6">
      <w:pPr>
        <w:pStyle w:val="ListParagraph"/>
        <w:ind w:left="567"/>
        <w:contextualSpacing w:val="0"/>
        <w:jc w:val="both"/>
        <w:rPr>
          <w:rFonts w:cs="Arial"/>
        </w:rPr>
      </w:pPr>
    </w:p>
    <w:p w:rsidR="00D961B6" w:rsidRPr="00D24A82" w:rsidRDefault="00D961B6" w:rsidP="00D961B6">
      <w:pPr>
        <w:pStyle w:val="ListParagraph"/>
        <w:numPr>
          <w:ilvl w:val="1"/>
          <w:numId w:val="1"/>
        </w:numPr>
        <w:contextualSpacing w:val="0"/>
        <w:jc w:val="both"/>
        <w:rPr>
          <w:rFonts w:cs="Arial"/>
        </w:rPr>
      </w:pPr>
      <w:r w:rsidRPr="00D24A82">
        <w:rPr>
          <w:rFonts w:cs="Arial"/>
        </w:rPr>
        <w:t>Vaccination Providers should adhere to the following guidelines to prevent needle-stick injuries.</w:t>
      </w:r>
    </w:p>
    <w:p w:rsidR="00D961B6" w:rsidRPr="00B3065A" w:rsidRDefault="00D961B6" w:rsidP="00D961B6">
      <w:pPr>
        <w:pStyle w:val="ListParagraph"/>
        <w:ind w:left="900"/>
        <w:contextualSpacing w:val="0"/>
        <w:jc w:val="both"/>
        <w:rPr>
          <w:rFonts w:cs="Arial"/>
        </w:rPr>
      </w:pPr>
    </w:p>
    <w:p w:rsidR="00D961B6" w:rsidRPr="00B3065A" w:rsidRDefault="00D961B6" w:rsidP="00D961B6">
      <w:pPr>
        <w:pStyle w:val="ListParagraph"/>
        <w:numPr>
          <w:ilvl w:val="0"/>
          <w:numId w:val="12"/>
        </w:numPr>
        <w:ind w:left="900"/>
        <w:contextualSpacing w:val="0"/>
        <w:jc w:val="both"/>
        <w:rPr>
          <w:rFonts w:cs="Arial"/>
        </w:rPr>
      </w:pPr>
      <w:r w:rsidRPr="00B3065A">
        <w:rPr>
          <w:rFonts w:cs="Arial"/>
        </w:rPr>
        <w:t>Used needles and syringes should be disposed as one single unit into a Sharps Disposal Container immediately after they have been used.</w:t>
      </w:r>
    </w:p>
    <w:p w:rsidR="00D961B6" w:rsidRPr="00B3065A" w:rsidRDefault="00D961B6" w:rsidP="00D961B6">
      <w:pPr>
        <w:pStyle w:val="ListParagraph"/>
        <w:ind w:left="900"/>
        <w:contextualSpacing w:val="0"/>
        <w:jc w:val="both"/>
        <w:rPr>
          <w:rFonts w:cs="Arial"/>
        </w:rPr>
      </w:pPr>
    </w:p>
    <w:p w:rsidR="00D961B6" w:rsidRPr="00B3065A" w:rsidRDefault="00D961B6" w:rsidP="00D961B6">
      <w:pPr>
        <w:pStyle w:val="ListParagraph"/>
        <w:numPr>
          <w:ilvl w:val="0"/>
          <w:numId w:val="12"/>
        </w:numPr>
        <w:ind w:left="900"/>
        <w:contextualSpacing w:val="0"/>
        <w:jc w:val="both"/>
        <w:rPr>
          <w:rFonts w:cs="Arial"/>
        </w:rPr>
      </w:pPr>
      <w:r w:rsidRPr="00B3065A">
        <w:rPr>
          <w:rFonts w:cs="Arial"/>
        </w:rPr>
        <w:t>Used needles should not be removed from the syringe, bent or broken by hand manipulation/removal device/port to prevent accidental needle sticks which may cause serious infections.</w:t>
      </w:r>
    </w:p>
    <w:p w:rsidR="00D961B6" w:rsidRPr="00B3065A" w:rsidRDefault="00D961B6" w:rsidP="00D961B6">
      <w:pPr>
        <w:pStyle w:val="ListParagraph"/>
        <w:ind w:left="900"/>
        <w:contextualSpacing w:val="0"/>
        <w:jc w:val="both"/>
        <w:rPr>
          <w:rFonts w:cs="Arial"/>
        </w:rPr>
      </w:pPr>
    </w:p>
    <w:p w:rsidR="00D961B6" w:rsidRPr="00B3065A" w:rsidRDefault="00D961B6" w:rsidP="00D961B6">
      <w:pPr>
        <w:pStyle w:val="ListParagraph"/>
        <w:numPr>
          <w:ilvl w:val="0"/>
          <w:numId w:val="12"/>
        </w:numPr>
        <w:ind w:left="900"/>
        <w:contextualSpacing w:val="0"/>
        <w:jc w:val="both"/>
        <w:rPr>
          <w:rFonts w:cs="Arial"/>
        </w:rPr>
      </w:pPr>
      <w:r w:rsidRPr="00B3065A">
        <w:rPr>
          <w:rFonts w:cs="Arial"/>
        </w:rPr>
        <w:t xml:space="preserve">Used needles and syringes should not be left protruding from Sharps Disposal Containers, and Sharps Disposal Containers should not be more than </w:t>
      </w:r>
      <m:oMath>
        <m:f>
          <m:fPr>
            <m:type m:val="skw"/>
            <m:ctrlPr>
              <w:rPr>
                <w:rFonts w:ascii="Cambria Math" w:hAnsi="Cambria Math" w:cs="Arial"/>
              </w:rPr>
            </m:ctrlPr>
          </m:fPr>
          <m:num>
            <m:r>
              <m:rPr>
                <m:sty m:val="p"/>
              </m:rPr>
              <w:rPr>
                <w:rFonts w:ascii="Cambria Math" w:hAnsi="Cambria Math" w:cs="Arial"/>
              </w:rPr>
              <m:t>2</m:t>
            </m:r>
          </m:num>
          <m:den>
            <m:r>
              <m:rPr>
                <m:sty m:val="p"/>
              </m:rPr>
              <w:rPr>
                <w:rFonts w:ascii="Cambria Math" w:hAnsi="Cambria Math" w:cs="Arial"/>
              </w:rPr>
              <m:t>3</m:t>
            </m:r>
          </m:den>
        </m:f>
      </m:oMath>
      <w:r w:rsidRPr="00B3065A">
        <w:rPr>
          <w:rFonts w:cs="Arial"/>
        </w:rPr>
        <w:t xml:space="preserve"> full.</w:t>
      </w:r>
    </w:p>
    <w:p w:rsidR="00D961B6" w:rsidRPr="00B3065A" w:rsidRDefault="00D961B6" w:rsidP="00D961B6">
      <w:pPr>
        <w:pStyle w:val="ListParagraph"/>
        <w:ind w:left="900"/>
        <w:contextualSpacing w:val="0"/>
        <w:jc w:val="both"/>
        <w:rPr>
          <w:rFonts w:cs="Arial"/>
        </w:rPr>
      </w:pPr>
    </w:p>
    <w:p w:rsidR="00D961B6" w:rsidRPr="00B3065A" w:rsidRDefault="00D961B6" w:rsidP="00D961B6">
      <w:pPr>
        <w:pStyle w:val="ListParagraph"/>
        <w:numPr>
          <w:ilvl w:val="0"/>
          <w:numId w:val="12"/>
        </w:numPr>
        <w:ind w:left="900"/>
        <w:contextualSpacing w:val="0"/>
        <w:jc w:val="both"/>
        <w:rPr>
          <w:rFonts w:cs="Arial"/>
        </w:rPr>
      </w:pPr>
      <w:r w:rsidRPr="00B3065A">
        <w:rPr>
          <w:rFonts w:cs="Arial"/>
        </w:rPr>
        <w:t>Sharps Disposal Containers should be located in a safe and secure position such that they cannot be easily tipped over. Sharps Disposal Containers should not be stored on the floor or above shoulder level.</w:t>
      </w:r>
    </w:p>
    <w:p w:rsidR="00D961B6" w:rsidRPr="00B3065A" w:rsidRDefault="00D961B6" w:rsidP="00D961B6">
      <w:pPr>
        <w:pStyle w:val="ListParagraph"/>
        <w:ind w:left="900"/>
        <w:contextualSpacing w:val="0"/>
        <w:jc w:val="both"/>
        <w:rPr>
          <w:rFonts w:cs="Arial"/>
        </w:rPr>
      </w:pPr>
    </w:p>
    <w:p w:rsidR="00D961B6" w:rsidRPr="00B3065A" w:rsidRDefault="00D961B6" w:rsidP="00D961B6">
      <w:pPr>
        <w:pStyle w:val="ListParagraph"/>
        <w:numPr>
          <w:ilvl w:val="0"/>
          <w:numId w:val="12"/>
        </w:numPr>
        <w:ind w:left="900"/>
        <w:contextualSpacing w:val="0"/>
        <w:jc w:val="both"/>
        <w:rPr>
          <w:rFonts w:cs="Arial"/>
        </w:rPr>
      </w:pPr>
      <w:r w:rsidRPr="00B3065A">
        <w:rPr>
          <w:rFonts w:cs="Arial"/>
        </w:rPr>
        <w:t>There should not be any form of crossing over of hands/clients when disposing used needles and syringes into Sharps Disposal Containers.</w:t>
      </w:r>
    </w:p>
    <w:p w:rsidR="00D961B6" w:rsidRPr="00B3065A" w:rsidRDefault="00D961B6" w:rsidP="00D961B6">
      <w:pPr>
        <w:pStyle w:val="ListParagraph"/>
        <w:ind w:left="900"/>
        <w:contextualSpacing w:val="0"/>
        <w:jc w:val="both"/>
        <w:rPr>
          <w:rFonts w:cs="Arial"/>
        </w:rPr>
      </w:pPr>
    </w:p>
    <w:p w:rsidR="00D961B6" w:rsidRPr="00B3065A" w:rsidRDefault="00D961B6" w:rsidP="00D961B6">
      <w:pPr>
        <w:pStyle w:val="ListParagraph"/>
        <w:numPr>
          <w:ilvl w:val="0"/>
          <w:numId w:val="12"/>
        </w:numPr>
        <w:ind w:left="900"/>
        <w:contextualSpacing w:val="0"/>
        <w:jc w:val="both"/>
        <w:rPr>
          <w:rFonts w:cs="Arial"/>
        </w:rPr>
      </w:pPr>
      <w:r w:rsidRPr="00B3065A">
        <w:rPr>
          <w:rFonts w:cs="Arial"/>
        </w:rPr>
        <w:t>When Sharps Disposal Containers are not in use, the temporary closure mechanism must be used.</w:t>
      </w:r>
    </w:p>
    <w:p w:rsidR="00D961B6" w:rsidRPr="00B3065A" w:rsidRDefault="00D961B6" w:rsidP="00D961B6">
      <w:pPr>
        <w:pStyle w:val="ListParagraph"/>
        <w:ind w:left="900"/>
        <w:contextualSpacing w:val="0"/>
        <w:jc w:val="both"/>
        <w:rPr>
          <w:rFonts w:cs="Arial"/>
        </w:rPr>
      </w:pPr>
    </w:p>
    <w:p w:rsidR="00D961B6" w:rsidRPr="00B3065A" w:rsidRDefault="00D961B6" w:rsidP="00D961B6">
      <w:pPr>
        <w:pStyle w:val="ListParagraph"/>
        <w:numPr>
          <w:ilvl w:val="0"/>
          <w:numId w:val="12"/>
        </w:numPr>
        <w:ind w:left="900"/>
        <w:contextualSpacing w:val="0"/>
        <w:jc w:val="both"/>
        <w:rPr>
          <w:rFonts w:cs="Arial"/>
        </w:rPr>
      </w:pPr>
      <w:r w:rsidRPr="00B3065A">
        <w:rPr>
          <w:rFonts w:cs="Arial"/>
        </w:rPr>
        <w:t>If recapping of needles is necessary or required as part of the vaccine preparation workflow, the needle should be recapped with the aid of a pair of forceps, using a cap-holding device, or using a “one-handed scoop” technique to scoop the cap.</w:t>
      </w:r>
    </w:p>
    <w:p w:rsidR="00D961B6" w:rsidRPr="00AA2484" w:rsidRDefault="00D961B6" w:rsidP="00D961B6">
      <w:pPr>
        <w:pStyle w:val="ListParagraph"/>
        <w:ind w:left="567"/>
        <w:contextualSpacing w:val="0"/>
        <w:jc w:val="both"/>
        <w:rPr>
          <w:rFonts w:cs="Arial"/>
        </w:rPr>
      </w:pPr>
    </w:p>
    <w:p w:rsidR="00D961B6" w:rsidRDefault="00D961B6" w:rsidP="00D961B6">
      <w:pPr>
        <w:pStyle w:val="ListParagraph"/>
        <w:numPr>
          <w:ilvl w:val="1"/>
          <w:numId w:val="1"/>
        </w:numPr>
        <w:contextualSpacing w:val="0"/>
        <w:jc w:val="both"/>
        <w:rPr>
          <w:rFonts w:cs="Arial"/>
        </w:rPr>
      </w:pPr>
      <w:r w:rsidRPr="00D24A82">
        <w:rPr>
          <w:rFonts w:cs="Arial"/>
        </w:rPr>
        <w:t>Vaccination Providers</w:t>
      </w:r>
      <w:r w:rsidRPr="00AA2484">
        <w:rPr>
          <w:rFonts w:cs="Arial"/>
        </w:rPr>
        <w:t xml:space="preserve"> should ensure that Sharps Disposal Containers used are properly, securely, and safely stored in a controlled area that is not accessible by any unauthorised personnel. Proper storage and handling of Sharps Disposal Containers before disposal </w:t>
      </w:r>
      <w:r w:rsidRPr="00AA2484">
        <w:rPr>
          <w:rFonts w:cs="Arial"/>
          <w:b/>
          <w:bCs/>
        </w:rPr>
        <w:t>must be adhered to</w:t>
      </w:r>
      <w:r w:rsidRPr="00AA2484">
        <w:rPr>
          <w:rFonts w:cs="Arial"/>
        </w:rPr>
        <w:t xml:space="preserve"> as part of workplace safety management (i.e. Sharps Disposal Containers must not be stacked hazardously.)</w:t>
      </w:r>
    </w:p>
    <w:p w:rsidR="00D961B6" w:rsidRDefault="00D961B6" w:rsidP="00D961B6">
      <w:pPr>
        <w:pStyle w:val="ListParagraph"/>
        <w:ind w:left="567"/>
        <w:contextualSpacing w:val="0"/>
        <w:jc w:val="both"/>
        <w:rPr>
          <w:rFonts w:cs="Arial"/>
        </w:rPr>
      </w:pPr>
    </w:p>
    <w:p w:rsidR="00D961B6" w:rsidRPr="008B4E0E" w:rsidRDefault="00D961B6" w:rsidP="00D961B6">
      <w:pPr>
        <w:pStyle w:val="ListParagraph"/>
        <w:numPr>
          <w:ilvl w:val="1"/>
          <w:numId w:val="1"/>
        </w:numPr>
        <w:contextualSpacing w:val="0"/>
        <w:jc w:val="both"/>
        <w:rPr>
          <w:rFonts w:cs="Arial"/>
        </w:rPr>
      </w:pPr>
      <w:r w:rsidRPr="008B4E0E">
        <w:rPr>
          <w:rFonts w:cs="Arial"/>
        </w:rPr>
        <w:t>Please refer to the National Infection Prevention and Control Guidelines for more information:</w:t>
      </w:r>
    </w:p>
    <w:p w:rsidR="00D961B6" w:rsidRPr="00B3065A" w:rsidRDefault="00D961B6" w:rsidP="00D961B6">
      <w:pPr>
        <w:pStyle w:val="ListParagraph"/>
        <w:ind w:left="567"/>
        <w:contextualSpacing w:val="0"/>
        <w:jc w:val="both"/>
        <w:rPr>
          <w:rFonts w:cs="Arial"/>
        </w:rPr>
      </w:pPr>
    </w:p>
    <w:p w:rsidR="00D961B6" w:rsidRPr="00B3065A" w:rsidRDefault="00D961B6" w:rsidP="00D961B6">
      <w:pPr>
        <w:pStyle w:val="ListParagraph"/>
        <w:ind w:left="567"/>
        <w:contextualSpacing w:val="0"/>
        <w:jc w:val="both"/>
        <w:rPr>
          <w:rFonts w:cs="Arial"/>
        </w:rPr>
      </w:pPr>
      <w:r w:rsidRPr="00B3065A">
        <w:rPr>
          <w:rFonts w:cs="Arial"/>
        </w:rPr>
        <w:object w:dxaOrig="1376" w:dyaOrig="893" w14:anchorId="32AF2ABB">
          <v:shape id="_x0000_i1039" type="#_x0000_t75" style="width:1in;height:42pt" o:ole="">
            <v:imagedata r:id="rId43" o:title=""/>
          </v:shape>
          <o:OLEObject Type="Embed" ProgID="AcroExch.Document.DC" ShapeID="_x0000_i1039" DrawAspect="Icon" ObjectID="_1783446655" r:id="rId44"/>
        </w:object>
      </w:r>
    </w:p>
    <w:p w:rsidR="00D961B6" w:rsidRPr="008B4E0E" w:rsidRDefault="00D961B6" w:rsidP="00D961B6">
      <w:pPr>
        <w:pStyle w:val="ListParagraph"/>
        <w:ind w:left="567"/>
        <w:contextualSpacing w:val="0"/>
        <w:jc w:val="both"/>
        <w:rPr>
          <w:rFonts w:cs="Arial"/>
        </w:rPr>
      </w:pPr>
    </w:p>
    <w:p w:rsidR="00D961B6" w:rsidRPr="008B4E0E" w:rsidRDefault="00D961B6" w:rsidP="00D961B6">
      <w:pPr>
        <w:pStyle w:val="ListParagraph"/>
        <w:ind w:left="540"/>
        <w:contextualSpacing w:val="0"/>
        <w:jc w:val="both"/>
        <w:rPr>
          <w:rFonts w:cs="Arial"/>
          <w:b/>
          <w:bCs/>
        </w:rPr>
      </w:pPr>
      <w:r w:rsidRPr="00B3065A">
        <w:rPr>
          <w:rFonts w:cs="Arial"/>
          <w:b/>
          <w:bCs/>
        </w:rPr>
        <w:t>Inventory Management</w:t>
      </w:r>
    </w:p>
    <w:p w:rsidR="00D961B6" w:rsidRPr="00B3065A" w:rsidRDefault="00D961B6" w:rsidP="00D961B6">
      <w:pPr>
        <w:jc w:val="both"/>
        <w:rPr>
          <w:rFonts w:cs="Arial"/>
        </w:rPr>
      </w:pPr>
    </w:p>
    <w:p w:rsidR="00D961B6" w:rsidRPr="000F45B0" w:rsidRDefault="00D961B6" w:rsidP="00D961B6">
      <w:pPr>
        <w:pStyle w:val="ListParagraph"/>
        <w:numPr>
          <w:ilvl w:val="1"/>
          <w:numId w:val="1"/>
        </w:numPr>
        <w:contextualSpacing w:val="0"/>
        <w:jc w:val="both"/>
        <w:rPr>
          <w:rFonts w:cs="Arial"/>
        </w:rPr>
      </w:pPr>
      <w:r w:rsidRPr="000F45B0">
        <w:rPr>
          <w:rFonts w:cs="Arial"/>
        </w:rPr>
        <w:t>Vaccination Providers need to have a system to account for the vaccines issued. Proper recording of vaccine inventory and stock movement (e.g. stock balance/usage/ received/transferred/wastage/disposed) should be maintained. Vaccination service providers are recommended to adopt the good practice of counting empty/used/ damaged vaccine vials before disposal, to ensure that the quantity discarded tallies with that taken out of the fridge.</w:t>
      </w:r>
    </w:p>
    <w:p w:rsidR="00D961B6" w:rsidRPr="000F45B0" w:rsidRDefault="00D961B6" w:rsidP="00D961B6">
      <w:pPr>
        <w:pStyle w:val="ListParagraph"/>
        <w:ind w:left="567"/>
        <w:contextualSpacing w:val="0"/>
        <w:jc w:val="both"/>
        <w:rPr>
          <w:rFonts w:cs="Arial"/>
        </w:rPr>
      </w:pPr>
    </w:p>
    <w:p w:rsidR="00D961B6" w:rsidRPr="000F45B0" w:rsidRDefault="00D961B6" w:rsidP="00D961B6">
      <w:pPr>
        <w:pStyle w:val="ListParagraph"/>
        <w:numPr>
          <w:ilvl w:val="1"/>
          <w:numId w:val="1"/>
        </w:numPr>
        <w:contextualSpacing w:val="0"/>
        <w:jc w:val="both"/>
        <w:rPr>
          <w:rFonts w:cs="Arial"/>
        </w:rPr>
      </w:pPr>
      <w:r w:rsidRPr="000F45B0">
        <w:rPr>
          <w:rFonts w:cs="Arial"/>
        </w:rPr>
        <w:t>Vaccination Providers</w:t>
      </w:r>
      <w:r w:rsidRPr="000F45B0">
        <w:rPr>
          <w:rFonts w:cs="Arial"/>
          <w:bCs/>
        </w:rPr>
        <w:t xml:space="preserve"> must have a system to monitor the stock expiry and transfer any excess stock to fellow Vaccination Providers at the first instance, to reduce wastage. If necessary, Vaccination Providers may seek assistance from your operations lead</w:t>
      </w:r>
      <w:r w:rsidRPr="000F45B0">
        <w:rPr>
          <w:rStyle w:val="FootnoteReference"/>
          <w:rFonts w:cs="Arial"/>
          <w:bCs/>
        </w:rPr>
        <w:footnoteReference w:id="3"/>
      </w:r>
      <w:r w:rsidRPr="000F45B0">
        <w:rPr>
          <w:rFonts w:cs="Arial"/>
          <w:bCs/>
        </w:rPr>
        <w:t xml:space="preserve"> at least 2 weeks before expiry for MOH redistribution of the excess stock, subject to availability of vaccination sites that are able to consume it before expiry.</w:t>
      </w:r>
    </w:p>
    <w:p w:rsidR="00D961B6" w:rsidRPr="000F45B0" w:rsidRDefault="00D961B6" w:rsidP="00D961B6">
      <w:pPr>
        <w:pStyle w:val="ListParagraph"/>
        <w:ind w:left="567"/>
        <w:contextualSpacing w:val="0"/>
        <w:jc w:val="both"/>
        <w:rPr>
          <w:rFonts w:cs="Arial"/>
        </w:rPr>
      </w:pPr>
    </w:p>
    <w:p w:rsidR="00D961B6" w:rsidRPr="00AA159D" w:rsidRDefault="00D961B6" w:rsidP="00D961B6">
      <w:pPr>
        <w:pStyle w:val="ListParagraph"/>
        <w:numPr>
          <w:ilvl w:val="1"/>
          <w:numId w:val="1"/>
        </w:numPr>
        <w:contextualSpacing w:val="0"/>
        <w:jc w:val="both"/>
        <w:rPr>
          <w:rFonts w:cs="Arial"/>
          <w:b/>
          <w:bCs/>
        </w:rPr>
      </w:pPr>
      <w:r w:rsidRPr="000F45B0">
        <w:rPr>
          <w:rFonts w:cs="Arial"/>
        </w:rPr>
        <w:t>Vaccination Providers</w:t>
      </w:r>
      <w:r w:rsidRPr="008B4E0E">
        <w:rPr>
          <w:rFonts w:cs="Arial"/>
          <w:bCs/>
        </w:rPr>
        <w:t xml:space="preserve"> </w:t>
      </w:r>
      <w:r w:rsidRPr="008B4E0E">
        <w:rPr>
          <w:rFonts w:cs="Arial"/>
        </w:rPr>
        <w:t xml:space="preserve">are recommended to hold sufficient supply for 5 to 7 days to keep the vaccine fresh, and to manage the supply and re-supply properly to keep wastage to a minimum. </w:t>
      </w:r>
    </w:p>
    <w:p w:rsidR="00D961B6" w:rsidRPr="008B4E0E" w:rsidRDefault="00D961B6" w:rsidP="00D961B6">
      <w:pPr>
        <w:pStyle w:val="ListParagraph"/>
        <w:ind w:left="540"/>
        <w:contextualSpacing w:val="0"/>
        <w:jc w:val="both"/>
        <w:rPr>
          <w:rFonts w:cs="Arial"/>
          <w:b/>
          <w:bCs/>
        </w:rPr>
      </w:pPr>
    </w:p>
    <w:p w:rsidR="00D961B6" w:rsidRPr="00B3065A" w:rsidRDefault="00D961B6" w:rsidP="00D961B6">
      <w:pPr>
        <w:pStyle w:val="ListParagraph"/>
        <w:ind w:left="540"/>
        <w:contextualSpacing w:val="0"/>
        <w:jc w:val="both"/>
        <w:rPr>
          <w:rFonts w:cs="Arial"/>
          <w:b/>
          <w:bCs/>
        </w:rPr>
      </w:pPr>
      <w:r w:rsidRPr="008F664B">
        <w:rPr>
          <w:rFonts w:cs="Arial"/>
          <w:b/>
          <w:bCs/>
        </w:rPr>
        <w:t>Pfizer-Bio</w:t>
      </w:r>
      <w:r>
        <w:rPr>
          <w:rFonts w:cs="Arial"/>
          <w:b/>
          <w:bCs/>
        </w:rPr>
        <w:t>NT</w:t>
      </w:r>
      <w:r w:rsidRPr="008F664B">
        <w:rPr>
          <w:rFonts w:cs="Arial"/>
          <w:b/>
          <w:bCs/>
        </w:rPr>
        <w:t>ech/Comirnaty</w:t>
      </w:r>
      <w:r w:rsidRPr="00B3065A">
        <w:rPr>
          <w:rFonts w:cs="Arial"/>
          <w:b/>
          <w:bCs/>
        </w:rPr>
        <w:t xml:space="preserve"> </w:t>
      </w:r>
      <w:bookmarkStart w:id="25" w:name="_Hlk147768005"/>
      <w:r>
        <w:rPr>
          <w:rFonts w:cs="Arial"/>
          <w:b/>
          <w:bCs/>
        </w:rPr>
        <w:t>XBB.1.5 Monovalent (5 to 11 years)</w:t>
      </w:r>
      <w:bookmarkEnd w:id="25"/>
    </w:p>
    <w:p w:rsidR="00D961B6" w:rsidRDefault="00D961B6" w:rsidP="00D961B6">
      <w:pPr>
        <w:pStyle w:val="ListParagraph"/>
        <w:ind w:left="540"/>
        <w:contextualSpacing w:val="0"/>
        <w:jc w:val="both"/>
        <w:rPr>
          <w:rFonts w:cs="Arial"/>
          <w:b/>
          <w:bCs/>
        </w:rPr>
      </w:pPr>
    </w:p>
    <w:p w:rsidR="00D961B6" w:rsidRPr="000F45B0" w:rsidRDefault="00D961B6" w:rsidP="00D961B6">
      <w:pPr>
        <w:pStyle w:val="ListParagraph"/>
        <w:numPr>
          <w:ilvl w:val="1"/>
          <w:numId w:val="1"/>
        </w:numPr>
        <w:contextualSpacing w:val="0"/>
        <w:jc w:val="both"/>
        <w:rPr>
          <w:rFonts w:cs="Arial"/>
        </w:rPr>
      </w:pPr>
      <w:r w:rsidRPr="008F664B">
        <w:rPr>
          <w:rFonts w:cs="Arial"/>
        </w:rPr>
        <w:t>The Pfizer-Bio</w:t>
      </w:r>
      <w:r>
        <w:rPr>
          <w:rFonts w:cs="Arial"/>
        </w:rPr>
        <w:t>NT</w:t>
      </w:r>
      <w:r w:rsidRPr="008F664B">
        <w:rPr>
          <w:rFonts w:cs="Arial"/>
        </w:rPr>
        <w:t xml:space="preserve">ech/Comirnaty </w:t>
      </w:r>
      <w:r>
        <w:rPr>
          <w:rFonts w:cs="Arial"/>
        </w:rPr>
        <w:t xml:space="preserve">XBB.1.5 monovalent </w:t>
      </w:r>
      <w:r w:rsidRPr="008F664B">
        <w:rPr>
          <w:rFonts w:cs="Arial"/>
        </w:rPr>
        <w:t>vaccines will be thawed by MOH’s vaccine distributors and will be delivered</w:t>
      </w:r>
      <w:r w:rsidRPr="008B4E0E">
        <w:rPr>
          <w:rFonts w:cs="Arial"/>
        </w:rPr>
        <w:t xml:space="preserve"> to </w:t>
      </w:r>
      <w:r w:rsidRPr="000F45B0">
        <w:rPr>
          <w:rFonts w:cs="Arial"/>
        </w:rPr>
        <w:t xml:space="preserve">Vaccination Providers at the temperature range of 2°C to 8°C. The shelf-life of the vaccine is </w:t>
      </w:r>
      <w:r w:rsidRPr="000F45B0">
        <w:rPr>
          <w:rFonts w:cs="Arial"/>
          <w:b/>
          <w:bCs/>
          <w:u w:val="single"/>
        </w:rPr>
        <w:t>10 weeks</w:t>
      </w:r>
      <w:r w:rsidRPr="000F45B0">
        <w:rPr>
          <w:rFonts w:cs="Arial"/>
        </w:rPr>
        <w:t xml:space="preserve"> once removed from the freezer at the central warehouse. The expiry date of the vaccine at 2°C to 8°C will be labelled on the vaccine vial.  </w:t>
      </w:r>
    </w:p>
    <w:p w:rsidR="00D961B6" w:rsidRPr="000F45B0" w:rsidRDefault="00D961B6" w:rsidP="00D961B6">
      <w:pPr>
        <w:pStyle w:val="ListParagraph"/>
        <w:ind w:left="567"/>
        <w:contextualSpacing w:val="0"/>
        <w:jc w:val="both"/>
        <w:rPr>
          <w:rFonts w:cs="Arial"/>
        </w:rPr>
      </w:pPr>
    </w:p>
    <w:p w:rsidR="00D961B6" w:rsidRPr="000F45B0" w:rsidRDefault="00D961B6" w:rsidP="00D961B6">
      <w:pPr>
        <w:pStyle w:val="ListParagraph"/>
        <w:numPr>
          <w:ilvl w:val="1"/>
          <w:numId w:val="1"/>
        </w:numPr>
        <w:contextualSpacing w:val="0"/>
        <w:jc w:val="both"/>
        <w:rPr>
          <w:rFonts w:cs="Arial"/>
        </w:rPr>
      </w:pPr>
      <w:r w:rsidRPr="000F45B0">
        <w:rPr>
          <w:rFonts w:cs="Arial"/>
        </w:rPr>
        <w:t xml:space="preserve">Each Pfizer-BioNTech/Comirnaty XBB.1.5 Monovalent monovalent (5 to 11 years) vial is a multi-dose vial sufficient for </w:t>
      </w:r>
      <w:r w:rsidRPr="000F45B0">
        <w:rPr>
          <w:rFonts w:cs="Arial"/>
          <w:b/>
          <w:bCs/>
        </w:rPr>
        <w:t>six</w:t>
      </w:r>
      <w:r w:rsidRPr="000F45B0">
        <w:rPr>
          <w:rFonts w:cs="Arial"/>
        </w:rPr>
        <w:t xml:space="preserve"> clients to be vaccinated. Similar to Moderna/Spikevax, Pfizer-BioNTech/Comirnaty XBB.1.5 monovalent vaccine </w:t>
      </w:r>
      <w:r w:rsidRPr="000F45B0">
        <w:rPr>
          <w:rFonts w:cs="Arial"/>
          <w:b/>
          <w:bCs/>
          <w:u w:val="single"/>
        </w:rPr>
        <w:t>do not require dilution</w:t>
      </w:r>
      <w:r w:rsidRPr="000F45B0">
        <w:rPr>
          <w:rFonts w:cs="Arial"/>
        </w:rPr>
        <w:t xml:space="preserve"> and must be used </w:t>
      </w:r>
      <w:r w:rsidRPr="000F45B0">
        <w:rPr>
          <w:rFonts w:cs="Arial"/>
          <w:b/>
          <w:bCs/>
          <w:u w:val="single"/>
        </w:rPr>
        <w:t>within 12 (twelve) hours</w:t>
      </w:r>
      <w:r w:rsidRPr="000F45B0">
        <w:rPr>
          <w:rFonts w:cs="Arial"/>
        </w:rPr>
        <w:t xml:space="preserve"> from the time of first </w:t>
      </w:r>
      <w:r w:rsidR="00655F65" w:rsidRPr="000F45B0">
        <w:rPr>
          <w:rFonts w:cs="Arial"/>
        </w:rPr>
        <w:t>puncture of vial</w:t>
      </w:r>
      <w:r w:rsidRPr="000F45B0">
        <w:rPr>
          <w:rFonts w:cs="Arial"/>
        </w:rPr>
        <w:t>.</w:t>
      </w:r>
    </w:p>
    <w:p w:rsidR="00D961B6" w:rsidRPr="000F45B0" w:rsidRDefault="00D961B6" w:rsidP="00D961B6">
      <w:pPr>
        <w:pStyle w:val="ListParagraph"/>
        <w:ind w:left="567"/>
        <w:contextualSpacing w:val="0"/>
        <w:jc w:val="both"/>
        <w:rPr>
          <w:rFonts w:cs="Arial"/>
        </w:rPr>
      </w:pPr>
    </w:p>
    <w:p w:rsidR="00D961B6" w:rsidRPr="000F45B0" w:rsidRDefault="00D961B6" w:rsidP="00D961B6">
      <w:pPr>
        <w:pStyle w:val="ListParagraph"/>
        <w:numPr>
          <w:ilvl w:val="1"/>
          <w:numId w:val="1"/>
        </w:numPr>
        <w:contextualSpacing w:val="0"/>
        <w:jc w:val="both"/>
        <w:rPr>
          <w:rFonts w:cs="Arial"/>
        </w:rPr>
      </w:pPr>
      <w:r w:rsidRPr="000F45B0">
        <w:rPr>
          <w:rFonts w:cs="Arial"/>
        </w:rPr>
        <w:t>Vaccination Providers</w:t>
      </w:r>
      <w:r w:rsidRPr="000F45B0">
        <w:rPr>
          <w:rFonts w:cs="Arial"/>
          <w:bCs/>
        </w:rPr>
        <w:t xml:space="preserve"> are required to submit vaccine orders via Zuellig Pharma’s Online Ordering Portal, </w:t>
      </w:r>
      <w:r w:rsidRPr="000F45B0">
        <w:rPr>
          <w:rFonts w:cs="Arial"/>
          <w:b/>
          <w:bCs/>
        </w:rPr>
        <w:t>eZRx (</w:t>
      </w:r>
      <w:hyperlink r:id="rId45" w:history="1">
        <w:r w:rsidRPr="000F45B0">
          <w:rPr>
            <w:rStyle w:val="Hyperlink"/>
            <w:rFonts w:cs="Arial"/>
            <w:b/>
            <w:bCs/>
          </w:rPr>
          <w:t>https://ezrx.com</w:t>
        </w:r>
      </w:hyperlink>
      <w:r w:rsidRPr="000F45B0">
        <w:rPr>
          <w:rFonts w:cs="Arial"/>
          <w:b/>
          <w:bCs/>
        </w:rPr>
        <w:t>)</w:t>
      </w:r>
      <w:r w:rsidRPr="000F45B0">
        <w:rPr>
          <w:rFonts w:cs="Arial"/>
        </w:rPr>
        <w:t>. Public healthcare institutions without eZRx access are required to submit vaccine orders via email.</w:t>
      </w:r>
    </w:p>
    <w:p w:rsidR="00D961B6" w:rsidRPr="000F45B0" w:rsidRDefault="00D961B6" w:rsidP="00D961B6">
      <w:pPr>
        <w:pStyle w:val="ListParagraph"/>
        <w:ind w:left="567"/>
        <w:contextualSpacing w:val="0"/>
        <w:jc w:val="both"/>
        <w:rPr>
          <w:rFonts w:cs="Arial"/>
        </w:rPr>
      </w:pPr>
    </w:p>
    <w:p w:rsidR="00D961B6" w:rsidRPr="008B4E0E" w:rsidRDefault="00D961B6" w:rsidP="00D961B6">
      <w:pPr>
        <w:pStyle w:val="ListParagraph"/>
        <w:numPr>
          <w:ilvl w:val="1"/>
          <w:numId w:val="1"/>
        </w:numPr>
        <w:contextualSpacing w:val="0"/>
        <w:jc w:val="both"/>
        <w:rPr>
          <w:rFonts w:cs="Arial"/>
        </w:rPr>
      </w:pPr>
      <w:r w:rsidRPr="000F45B0">
        <w:rPr>
          <w:rFonts w:cs="Arial"/>
        </w:rPr>
        <w:t>Vaccination Providers should note the order</w:t>
      </w:r>
      <w:r w:rsidRPr="008B4E0E">
        <w:rPr>
          <w:rFonts w:cs="Arial"/>
        </w:rPr>
        <w:t xml:space="preserve"> cut-off time, and the expected delivery when requesting for top-up of vaccines. </w:t>
      </w:r>
    </w:p>
    <w:p w:rsidR="00D961B6" w:rsidRPr="00B3065A" w:rsidRDefault="00D961B6" w:rsidP="00D961B6">
      <w:pPr>
        <w:pStyle w:val="ListParagraph"/>
        <w:ind w:left="567"/>
        <w:contextualSpacing w:val="0"/>
        <w:jc w:val="both"/>
        <w:rPr>
          <w:rFonts w:cs="Arial"/>
        </w:rPr>
      </w:pPr>
    </w:p>
    <w:tbl>
      <w:tblPr>
        <w:tblStyle w:val="TableGrid"/>
        <w:tblW w:w="0" w:type="auto"/>
        <w:tblInd w:w="562" w:type="dxa"/>
        <w:tblLook w:val="04A0" w:firstRow="1" w:lastRow="0" w:firstColumn="1" w:lastColumn="0" w:noHBand="0" w:noVBand="1"/>
      </w:tblPr>
      <w:tblGrid>
        <w:gridCol w:w="4227"/>
        <w:gridCol w:w="4227"/>
      </w:tblGrid>
      <w:tr w:rsidR="00D961B6" w:rsidRPr="00B3065A" w:rsidTr="005C56D0">
        <w:tc>
          <w:tcPr>
            <w:tcW w:w="4227" w:type="dxa"/>
          </w:tcPr>
          <w:p w:rsidR="00D961B6" w:rsidRPr="00B3065A" w:rsidRDefault="00D961B6" w:rsidP="005C56D0">
            <w:pPr>
              <w:jc w:val="both"/>
              <w:rPr>
                <w:rFonts w:cs="Arial"/>
                <w:b/>
                <w:bCs/>
              </w:rPr>
            </w:pPr>
            <w:r w:rsidRPr="00B3065A">
              <w:rPr>
                <w:rFonts w:cs="Arial"/>
                <w:b/>
                <w:bCs/>
              </w:rPr>
              <w:t>Order Placed</w:t>
            </w:r>
            <w:r>
              <w:rPr>
                <w:rFonts w:cs="Arial"/>
                <w:b/>
                <w:bCs/>
              </w:rPr>
              <w:t xml:space="preserve"> on Working Dat</w:t>
            </w:r>
          </w:p>
        </w:tc>
        <w:tc>
          <w:tcPr>
            <w:tcW w:w="4227" w:type="dxa"/>
          </w:tcPr>
          <w:p w:rsidR="00D961B6" w:rsidRPr="00B3065A" w:rsidRDefault="00D961B6" w:rsidP="005C56D0">
            <w:pPr>
              <w:jc w:val="both"/>
              <w:rPr>
                <w:rFonts w:cs="Arial"/>
                <w:b/>
                <w:bCs/>
              </w:rPr>
            </w:pPr>
            <w:r w:rsidRPr="00B3065A">
              <w:rPr>
                <w:rFonts w:cs="Arial"/>
                <w:b/>
                <w:bCs/>
              </w:rPr>
              <w:t>Vaccines Delivery</w:t>
            </w:r>
          </w:p>
        </w:tc>
      </w:tr>
      <w:tr w:rsidR="00D961B6" w:rsidRPr="00B3065A" w:rsidTr="005C56D0">
        <w:tc>
          <w:tcPr>
            <w:tcW w:w="4227" w:type="dxa"/>
          </w:tcPr>
          <w:p w:rsidR="00D961B6" w:rsidRPr="00B3065A" w:rsidRDefault="00D961B6" w:rsidP="005C56D0">
            <w:pPr>
              <w:jc w:val="both"/>
              <w:rPr>
                <w:rFonts w:cs="Arial"/>
              </w:rPr>
            </w:pPr>
            <w:r w:rsidRPr="00B3065A">
              <w:rPr>
                <w:rFonts w:cs="Arial"/>
              </w:rPr>
              <w:t>Day 1; Before 10am</w:t>
            </w:r>
          </w:p>
        </w:tc>
        <w:tc>
          <w:tcPr>
            <w:tcW w:w="4227" w:type="dxa"/>
          </w:tcPr>
          <w:p w:rsidR="00D961B6" w:rsidRPr="00B3065A" w:rsidRDefault="00D961B6" w:rsidP="005C56D0">
            <w:pPr>
              <w:jc w:val="both"/>
              <w:rPr>
                <w:rFonts w:cs="Arial"/>
              </w:rPr>
            </w:pPr>
            <w:r>
              <w:rPr>
                <w:rFonts w:cs="Arial"/>
              </w:rPr>
              <w:t xml:space="preserve">By </w:t>
            </w:r>
            <w:r w:rsidRPr="00B3065A">
              <w:rPr>
                <w:rFonts w:cs="Arial"/>
              </w:rPr>
              <w:t xml:space="preserve">Day </w:t>
            </w:r>
            <w:r>
              <w:rPr>
                <w:rFonts w:cs="Arial"/>
              </w:rPr>
              <w:t>4</w:t>
            </w:r>
            <w:r w:rsidRPr="00B3065A">
              <w:rPr>
                <w:rFonts w:cs="Arial"/>
              </w:rPr>
              <w:t xml:space="preserve">; </w:t>
            </w:r>
            <w:r>
              <w:rPr>
                <w:rFonts w:cs="Arial"/>
              </w:rPr>
              <w:t>Within 3</w:t>
            </w:r>
            <w:r w:rsidRPr="00B3065A">
              <w:rPr>
                <w:rFonts w:cs="Arial"/>
              </w:rPr>
              <w:t xml:space="preserve"> working day</w:t>
            </w:r>
            <w:r>
              <w:rPr>
                <w:rFonts w:cs="Arial"/>
              </w:rPr>
              <w:t>s</w:t>
            </w:r>
          </w:p>
        </w:tc>
      </w:tr>
      <w:tr w:rsidR="00D961B6" w:rsidRPr="00B3065A" w:rsidTr="005C56D0">
        <w:tc>
          <w:tcPr>
            <w:tcW w:w="4227" w:type="dxa"/>
          </w:tcPr>
          <w:p w:rsidR="00D961B6" w:rsidRPr="00B3065A" w:rsidRDefault="00D961B6" w:rsidP="005C56D0">
            <w:pPr>
              <w:jc w:val="both"/>
              <w:rPr>
                <w:rFonts w:cs="Arial"/>
              </w:rPr>
            </w:pPr>
            <w:r w:rsidRPr="00B3065A">
              <w:rPr>
                <w:rFonts w:cs="Arial"/>
              </w:rPr>
              <w:t xml:space="preserve">Day 1; After 10am </w:t>
            </w:r>
          </w:p>
          <w:p w:rsidR="00D961B6" w:rsidRPr="00B3065A" w:rsidRDefault="00D961B6" w:rsidP="005C56D0">
            <w:pPr>
              <w:jc w:val="both"/>
              <w:rPr>
                <w:rFonts w:cs="Arial"/>
              </w:rPr>
            </w:pPr>
            <w:r w:rsidRPr="00B3065A">
              <w:rPr>
                <w:rFonts w:cs="Arial"/>
              </w:rPr>
              <w:t>(Processed as next working day; Day 2)</w:t>
            </w:r>
          </w:p>
        </w:tc>
        <w:tc>
          <w:tcPr>
            <w:tcW w:w="4227" w:type="dxa"/>
          </w:tcPr>
          <w:p w:rsidR="00D961B6" w:rsidRPr="00B3065A" w:rsidRDefault="00D961B6" w:rsidP="005C56D0">
            <w:pPr>
              <w:jc w:val="both"/>
              <w:rPr>
                <w:rFonts w:cs="Arial"/>
              </w:rPr>
            </w:pPr>
            <w:r>
              <w:rPr>
                <w:rFonts w:cs="Arial"/>
              </w:rPr>
              <w:t xml:space="preserve">By </w:t>
            </w:r>
            <w:r w:rsidRPr="00B3065A">
              <w:rPr>
                <w:rFonts w:cs="Arial"/>
              </w:rPr>
              <w:t xml:space="preserve">Day </w:t>
            </w:r>
            <w:r>
              <w:rPr>
                <w:rFonts w:cs="Arial"/>
              </w:rPr>
              <w:t>5</w:t>
            </w:r>
            <w:r w:rsidRPr="00B3065A">
              <w:rPr>
                <w:rFonts w:cs="Arial"/>
              </w:rPr>
              <w:t xml:space="preserve">; </w:t>
            </w:r>
            <w:r>
              <w:rPr>
                <w:rFonts w:cs="Arial"/>
              </w:rPr>
              <w:t>Within 4</w:t>
            </w:r>
            <w:r w:rsidRPr="00B3065A">
              <w:rPr>
                <w:rFonts w:cs="Arial"/>
              </w:rPr>
              <w:t xml:space="preserve"> working days </w:t>
            </w:r>
          </w:p>
        </w:tc>
      </w:tr>
      <w:tr w:rsidR="00D961B6" w:rsidRPr="00B3065A" w:rsidTr="005C56D0">
        <w:tc>
          <w:tcPr>
            <w:tcW w:w="4227" w:type="dxa"/>
          </w:tcPr>
          <w:p w:rsidR="00D961B6" w:rsidRPr="00B3065A" w:rsidRDefault="00D961B6" w:rsidP="005C56D0">
            <w:pPr>
              <w:jc w:val="both"/>
              <w:rPr>
                <w:rFonts w:cs="Arial"/>
              </w:rPr>
            </w:pPr>
            <w:r w:rsidRPr="00B3065A">
              <w:rPr>
                <w:rFonts w:cs="Arial"/>
              </w:rPr>
              <w:t xml:space="preserve">Orders placed on Friday and eve of public holiday (By 10am) </w:t>
            </w:r>
          </w:p>
        </w:tc>
        <w:tc>
          <w:tcPr>
            <w:tcW w:w="4227" w:type="dxa"/>
          </w:tcPr>
          <w:p w:rsidR="00D961B6" w:rsidRPr="00B3065A" w:rsidRDefault="00D961B6" w:rsidP="005C56D0">
            <w:pPr>
              <w:jc w:val="both"/>
              <w:rPr>
                <w:rFonts w:cs="Arial"/>
              </w:rPr>
            </w:pPr>
            <w:r>
              <w:rPr>
                <w:rFonts w:cs="Arial"/>
              </w:rPr>
              <w:t>Within n</w:t>
            </w:r>
            <w:r w:rsidRPr="00B3065A">
              <w:rPr>
                <w:rFonts w:cs="Arial"/>
              </w:rPr>
              <w:t xml:space="preserve">ext </w:t>
            </w:r>
            <w:r>
              <w:rPr>
                <w:rFonts w:cs="Arial"/>
              </w:rPr>
              <w:t xml:space="preserve">3 </w:t>
            </w:r>
            <w:r w:rsidRPr="00B3065A">
              <w:rPr>
                <w:rFonts w:cs="Arial"/>
              </w:rPr>
              <w:t>working day</w:t>
            </w:r>
            <w:r>
              <w:rPr>
                <w:rFonts w:cs="Arial"/>
              </w:rPr>
              <w:t>s</w:t>
            </w:r>
          </w:p>
        </w:tc>
      </w:tr>
      <w:tr w:rsidR="00D961B6" w:rsidRPr="00B3065A" w:rsidTr="005C56D0">
        <w:trPr>
          <w:trHeight w:val="251"/>
        </w:trPr>
        <w:tc>
          <w:tcPr>
            <w:tcW w:w="8454" w:type="dxa"/>
            <w:gridSpan w:val="2"/>
          </w:tcPr>
          <w:p w:rsidR="00D961B6" w:rsidRPr="00B3065A" w:rsidRDefault="00D961B6" w:rsidP="005C56D0">
            <w:pPr>
              <w:spacing w:before="100" w:beforeAutospacing="1" w:after="100" w:afterAutospacing="1"/>
              <w:jc w:val="both"/>
              <w:rPr>
                <w:rFonts w:cs="Arial"/>
                <w:i/>
                <w:iCs/>
              </w:rPr>
            </w:pPr>
            <w:r w:rsidRPr="00B3065A">
              <w:rPr>
                <w:rFonts w:cs="Arial"/>
                <w:i/>
                <w:iCs/>
              </w:rPr>
              <w:t>Note:</w:t>
            </w:r>
            <w:r>
              <w:rPr>
                <w:rFonts w:cs="Arial"/>
                <w:i/>
                <w:iCs/>
              </w:rPr>
              <w:t xml:space="preserve"> </w:t>
            </w:r>
            <w:r w:rsidRPr="00B3065A">
              <w:rPr>
                <w:rFonts w:cs="Arial"/>
                <w:i/>
                <w:iCs/>
              </w:rPr>
              <w:t>No order processing on weekends and public holidays.</w:t>
            </w:r>
          </w:p>
        </w:tc>
      </w:tr>
    </w:tbl>
    <w:p w:rsidR="00D961B6" w:rsidRPr="007A097D" w:rsidRDefault="00D961B6" w:rsidP="00D961B6">
      <w:pPr>
        <w:jc w:val="both"/>
        <w:rPr>
          <w:rFonts w:cs="Arial"/>
        </w:rPr>
      </w:pPr>
    </w:p>
    <w:p w:rsidR="00D961B6" w:rsidRPr="008B4E0E" w:rsidRDefault="00D961B6" w:rsidP="00D961B6">
      <w:pPr>
        <w:pStyle w:val="ListParagraph"/>
        <w:numPr>
          <w:ilvl w:val="1"/>
          <w:numId w:val="1"/>
        </w:numPr>
        <w:contextualSpacing w:val="0"/>
        <w:jc w:val="both"/>
        <w:rPr>
          <w:rFonts w:cs="Arial"/>
        </w:rPr>
      </w:pPr>
      <w:r w:rsidRPr="008B4E0E">
        <w:rPr>
          <w:rFonts w:cs="Arial"/>
        </w:rPr>
        <w:t xml:space="preserve">Please refer to Annex </w:t>
      </w:r>
      <w:r>
        <w:rPr>
          <w:rFonts w:cs="Arial"/>
        </w:rPr>
        <w:t>J</w:t>
      </w:r>
      <w:r w:rsidRPr="008B4E0E">
        <w:rPr>
          <w:rFonts w:cs="Arial"/>
        </w:rPr>
        <w:t xml:space="preserve"> and </w:t>
      </w:r>
      <w:r>
        <w:rPr>
          <w:rFonts w:cs="Arial"/>
        </w:rPr>
        <w:t>K</w:t>
      </w:r>
      <w:r w:rsidRPr="008B4E0E">
        <w:rPr>
          <w:rFonts w:cs="Arial"/>
        </w:rPr>
        <w:t xml:space="preserve"> for the detailed work instructions for the request of vaccine and medical supplies.</w:t>
      </w:r>
    </w:p>
    <w:p w:rsidR="00D961B6" w:rsidRPr="00B3065A" w:rsidRDefault="00D961B6" w:rsidP="00D961B6">
      <w:pPr>
        <w:pStyle w:val="ListParagraph"/>
        <w:ind w:left="567"/>
        <w:contextualSpacing w:val="0"/>
        <w:jc w:val="both"/>
        <w:rPr>
          <w:rFonts w:cs="Arial"/>
        </w:rPr>
      </w:pPr>
    </w:p>
    <w:tbl>
      <w:tblPr>
        <w:tblStyle w:val="TableGrid"/>
        <w:tblW w:w="0" w:type="auto"/>
        <w:tblInd w:w="562" w:type="dxa"/>
        <w:tblLook w:val="04A0" w:firstRow="1" w:lastRow="0" w:firstColumn="1" w:lastColumn="0" w:noHBand="0" w:noVBand="1"/>
      </w:tblPr>
      <w:tblGrid>
        <w:gridCol w:w="3969"/>
        <w:gridCol w:w="2304"/>
        <w:gridCol w:w="2181"/>
      </w:tblGrid>
      <w:tr w:rsidR="00D961B6" w:rsidRPr="00B3065A" w:rsidTr="005C56D0">
        <w:tc>
          <w:tcPr>
            <w:tcW w:w="3969" w:type="dxa"/>
          </w:tcPr>
          <w:p w:rsidR="00D961B6" w:rsidRPr="00B3065A" w:rsidRDefault="00D961B6" w:rsidP="005C56D0">
            <w:pPr>
              <w:jc w:val="both"/>
              <w:rPr>
                <w:rFonts w:cs="Arial"/>
              </w:rPr>
            </w:pPr>
            <w:r w:rsidRPr="00B3065A">
              <w:rPr>
                <w:rFonts w:cs="Arial"/>
                <w:b/>
                <w:bCs/>
              </w:rPr>
              <w:t>Document</w:t>
            </w:r>
          </w:p>
        </w:tc>
        <w:tc>
          <w:tcPr>
            <w:tcW w:w="2304" w:type="dxa"/>
          </w:tcPr>
          <w:p w:rsidR="00D961B6" w:rsidRPr="00B3065A" w:rsidRDefault="00D961B6" w:rsidP="005C56D0">
            <w:pPr>
              <w:jc w:val="both"/>
              <w:rPr>
                <w:rFonts w:cs="Arial"/>
                <w:b/>
                <w:bCs/>
              </w:rPr>
            </w:pPr>
            <w:r w:rsidRPr="00B3065A">
              <w:rPr>
                <w:rFonts w:cs="Arial"/>
                <w:b/>
                <w:bCs/>
              </w:rPr>
              <w:t>Site Provider</w:t>
            </w:r>
          </w:p>
        </w:tc>
        <w:tc>
          <w:tcPr>
            <w:tcW w:w="2181" w:type="dxa"/>
          </w:tcPr>
          <w:p w:rsidR="00D961B6" w:rsidRPr="00B3065A" w:rsidRDefault="00D961B6" w:rsidP="005C56D0">
            <w:pPr>
              <w:jc w:val="both"/>
              <w:rPr>
                <w:rFonts w:cs="Arial"/>
              </w:rPr>
            </w:pPr>
            <w:r w:rsidRPr="00B3065A">
              <w:rPr>
                <w:rFonts w:cs="Arial"/>
                <w:b/>
                <w:bCs/>
              </w:rPr>
              <w:t xml:space="preserve">Attachment </w:t>
            </w:r>
          </w:p>
        </w:tc>
      </w:tr>
      <w:tr w:rsidR="00D961B6" w:rsidRPr="00B3065A" w:rsidTr="005C56D0">
        <w:tc>
          <w:tcPr>
            <w:tcW w:w="3969" w:type="dxa"/>
            <w:shd w:val="clear" w:color="auto" w:fill="auto"/>
          </w:tcPr>
          <w:p w:rsidR="00D961B6" w:rsidRPr="008F664B" w:rsidRDefault="00D961B6" w:rsidP="005C56D0">
            <w:pPr>
              <w:jc w:val="both"/>
              <w:rPr>
                <w:rFonts w:cs="Arial"/>
              </w:rPr>
            </w:pPr>
            <w:r w:rsidRPr="008F664B">
              <w:rPr>
                <w:rFonts w:cs="Arial"/>
              </w:rPr>
              <w:t>Detailed work instructions for the requisition of vaccine and medical supplies</w:t>
            </w:r>
          </w:p>
          <w:p w:rsidR="00D961B6" w:rsidRPr="008F664B" w:rsidRDefault="00D961B6" w:rsidP="005C56D0">
            <w:pPr>
              <w:jc w:val="both"/>
              <w:rPr>
                <w:rFonts w:cs="Arial"/>
              </w:rPr>
            </w:pPr>
            <w:r w:rsidRPr="008F664B">
              <w:rPr>
                <w:rFonts w:cs="Arial"/>
              </w:rPr>
              <w:t xml:space="preserve">(Annex </w:t>
            </w:r>
            <w:r w:rsidR="003915B0">
              <w:rPr>
                <w:rFonts w:cs="Arial"/>
              </w:rPr>
              <w:t>I</w:t>
            </w:r>
            <w:r w:rsidRPr="008F664B">
              <w:rPr>
                <w:rFonts w:cs="Arial"/>
              </w:rPr>
              <w:t>- Pfizer-Bio</w:t>
            </w:r>
            <w:r>
              <w:rPr>
                <w:rFonts w:cs="Arial"/>
              </w:rPr>
              <w:t>NT</w:t>
            </w:r>
            <w:r w:rsidRPr="008F664B">
              <w:rPr>
                <w:rFonts w:cs="Arial"/>
              </w:rPr>
              <w:t>ech/Comirnaty</w:t>
            </w:r>
            <w:r>
              <w:rPr>
                <w:rFonts w:cs="Arial"/>
              </w:rPr>
              <w:t xml:space="preserve"> XBB.1.5</w:t>
            </w:r>
            <w:r w:rsidRPr="008F664B">
              <w:rPr>
                <w:rFonts w:cs="Arial"/>
              </w:rPr>
              <w:t xml:space="preserve"> </w:t>
            </w:r>
            <w:r>
              <w:rPr>
                <w:rFonts w:cs="Arial"/>
              </w:rPr>
              <w:t xml:space="preserve">Monovalent; </w:t>
            </w:r>
            <w:r w:rsidRPr="00AA5C4C">
              <w:rPr>
                <w:rFonts w:cs="Arial"/>
              </w:rPr>
              <w:t>5 to 11 years</w:t>
            </w:r>
            <w:r w:rsidRPr="008F664B">
              <w:rPr>
                <w:rFonts w:cs="Arial"/>
              </w:rPr>
              <w:t>)</w:t>
            </w:r>
          </w:p>
          <w:p w:rsidR="00D961B6" w:rsidRPr="008F664B" w:rsidRDefault="00D961B6" w:rsidP="005C56D0">
            <w:pPr>
              <w:jc w:val="both"/>
              <w:rPr>
                <w:rFonts w:cs="Arial"/>
              </w:rPr>
            </w:pPr>
          </w:p>
        </w:tc>
        <w:tc>
          <w:tcPr>
            <w:tcW w:w="2304" w:type="dxa"/>
          </w:tcPr>
          <w:p w:rsidR="00D961B6" w:rsidRPr="00B3065A" w:rsidRDefault="00D961B6" w:rsidP="005C56D0">
            <w:pPr>
              <w:ind w:right="209"/>
              <w:jc w:val="both"/>
              <w:rPr>
                <w:rFonts w:cs="Arial"/>
              </w:rPr>
            </w:pPr>
            <w:r w:rsidRPr="00B3065A">
              <w:rPr>
                <w:rFonts w:cs="Arial"/>
              </w:rPr>
              <w:t>PHPC</w:t>
            </w:r>
            <w:r>
              <w:rPr>
                <w:rFonts w:cs="Arial"/>
              </w:rPr>
              <w:t>s</w:t>
            </w:r>
            <w:r w:rsidRPr="00B3065A">
              <w:rPr>
                <w:rFonts w:cs="Arial"/>
              </w:rPr>
              <w:t xml:space="preserve">, </w:t>
            </w:r>
            <w:r>
              <w:rPr>
                <w:rFonts w:cs="Arial"/>
              </w:rPr>
              <w:t>JT</w:t>
            </w:r>
            <w:r w:rsidRPr="00B3065A">
              <w:rPr>
                <w:rFonts w:cs="Arial"/>
              </w:rPr>
              <w:t>VC</w:t>
            </w:r>
            <w:r>
              <w:rPr>
                <w:rFonts w:cs="Arial"/>
              </w:rPr>
              <w:t>s</w:t>
            </w:r>
            <w:r w:rsidRPr="00B3065A">
              <w:rPr>
                <w:rFonts w:cs="Arial"/>
              </w:rPr>
              <w:t xml:space="preserve"> and Hospitals</w:t>
            </w:r>
          </w:p>
        </w:tc>
        <w:bookmarkStart w:id="26" w:name="_MON_1758383744"/>
        <w:bookmarkEnd w:id="26"/>
        <w:tc>
          <w:tcPr>
            <w:tcW w:w="2181" w:type="dxa"/>
            <w:shd w:val="clear" w:color="auto" w:fill="auto"/>
          </w:tcPr>
          <w:p w:rsidR="00D961B6" w:rsidRPr="00B3065A" w:rsidRDefault="00D961B6" w:rsidP="005C56D0">
            <w:pPr>
              <w:jc w:val="both"/>
              <w:rPr>
                <w:rFonts w:cs="Arial"/>
              </w:rPr>
            </w:pPr>
            <w:r>
              <w:object w:dxaOrig="1508" w:dyaOrig="983" w14:anchorId="050705FA">
                <v:shape id="_x0000_i1040" type="#_x0000_t75" style="width:76pt;height:49pt" o:ole="">
                  <v:imagedata r:id="rId46" o:title=""/>
                </v:shape>
                <o:OLEObject Type="Embed" ProgID="Word.Document.12" ShapeID="_x0000_i1040" DrawAspect="Icon" ObjectID="_1783446656" r:id="rId47">
                  <o:FieldCodes>\s</o:FieldCodes>
                </o:OLEObject>
              </w:object>
            </w:r>
          </w:p>
        </w:tc>
      </w:tr>
      <w:tr w:rsidR="00D961B6" w:rsidRPr="00B3065A" w:rsidTr="005C56D0">
        <w:tc>
          <w:tcPr>
            <w:tcW w:w="3969" w:type="dxa"/>
            <w:shd w:val="clear" w:color="auto" w:fill="auto"/>
          </w:tcPr>
          <w:p w:rsidR="00D961B6" w:rsidRPr="008F664B" w:rsidRDefault="00D961B6" w:rsidP="005C56D0">
            <w:pPr>
              <w:jc w:val="both"/>
              <w:rPr>
                <w:rFonts w:cs="Arial"/>
              </w:rPr>
            </w:pPr>
            <w:r w:rsidRPr="008F664B">
              <w:rPr>
                <w:rFonts w:cs="Arial"/>
              </w:rPr>
              <w:t>Detailed work instructions for the requisition of vaccine and medical supplies</w:t>
            </w:r>
          </w:p>
          <w:p w:rsidR="00D961B6" w:rsidRPr="008F664B" w:rsidRDefault="00D961B6" w:rsidP="005C56D0">
            <w:pPr>
              <w:jc w:val="both"/>
              <w:rPr>
                <w:rFonts w:cs="Arial"/>
              </w:rPr>
            </w:pPr>
            <w:r w:rsidRPr="008F664B">
              <w:rPr>
                <w:rFonts w:cs="Arial"/>
              </w:rPr>
              <w:t xml:space="preserve">(Annex </w:t>
            </w:r>
            <w:r w:rsidR="003915B0">
              <w:rPr>
                <w:rFonts w:cs="Arial"/>
              </w:rPr>
              <w:t>J</w:t>
            </w:r>
            <w:r w:rsidRPr="008F664B">
              <w:rPr>
                <w:rFonts w:cs="Arial"/>
              </w:rPr>
              <w:t>- Pfizer-Bio</w:t>
            </w:r>
            <w:r>
              <w:rPr>
                <w:rFonts w:cs="Arial"/>
              </w:rPr>
              <w:t>NT</w:t>
            </w:r>
            <w:r w:rsidRPr="008F664B">
              <w:rPr>
                <w:rFonts w:cs="Arial"/>
              </w:rPr>
              <w:t xml:space="preserve">ech/Comirnaty </w:t>
            </w:r>
            <w:r>
              <w:rPr>
                <w:rFonts w:cs="Arial"/>
              </w:rPr>
              <w:t>XBB.1.5</w:t>
            </w:r>
            <w:r w:rsidRPr="008F664B">
              <w:rPr>
                <w:rFonts w:cs="Arial"/>
              </w:rPr>
              <w:t xml:space="preserve"> </w:t>
            </w:r>
            <w:r>
              <w:rPr>
                <w:rFonts w:cs="Arial"/>
              </w:rPr>
              <w:t xml:space="preserve">Monovalent; </w:t>
            </w:r>
            <w:r w:rsidRPr="00AA5C4C">
              <w:rPr>
                <w:rFonts w:cs="Arial"/>
              </w:rPr>
              <w:t>5 to 11 years</w:t>
            </w:r>
            <w:r w:rsidRPr="008F664B">
              <w:rPr>
                <w:rFonts w:cs="Arial"/>
              </w:rPr>
              <w:t xml:space="preserve">) </w:t>
            </w:r>
          </w:p>
        </w:tc>
        <w:tc>
          <w:tcPr>
            <w:tcW w:w="2304" w:type="dxa"/>
          </w:tcPr>
          <w:p w:rsidR="00D961B6" w:rsidRPr="00B3065A" w:rsidRDefault="00D961B6" w:rsidP="005C56D0">
            <w:pPr>
              <w:ind w:right="209"/>
              <w:jc w:val="both"/>
              <w:rPr>
                <w:rFonts w:cs="Arial"/>
              </w:rPr>
            </w:pPr>
            <w:r w:rsidRPr="00B3065A">
              <w:rPr>
                <w:rFonts w:cs="Arial"/>
              </w:rPr>
              <w:t>Public</w:t>
            </w:r>
            <w:r>
              <w:rPr>
                <w:rFonts w:cs="Arial"/>
              </w:rPr>
              <w:t xml:space="preserve"> </w:t>
            </w:r>
            <w:r w:rsidRPr="00B3065A">
              <w:rPr>
                <w:rFonts w:cs="Arial"/>
              </w:rPr>
              <w:t>Healthcare Institutions without eZRx access</w:t>
            </w:r>
          </w:p>
        </w:tc>
        <w:bookmarkStart w:id="27" w:name="_MON_1758383768"/>
        <w:bookmarkEnd w:id="27"/>
        <w:tc>
          <w:tcPr>
            <w:tcW w:w="2181" w:type="dxa"/>
            <w:shd w:val="clear" w:color="auto" w:fill="auto"/>
          </w:tcPr>
          <w:p w:rsidR="00D961B6" w:rsidRDefault="00D961B6" w:rsidP="005C56D0">
            <w:pPr>
              <w:jc w:val="both"/>
            </w:pPr>
            <w:r>
              <w:object w:dxaOrig="1508" w:dyaOrig="983" w14:anchorId="797D0A94">
                <v:shape id="_x0000_i1041" type="#_x0000_t75" style="width:76pt;height:49pt" o:ole="">
                  <v:imagedata r:id="rId48" o:title=""/>
                </v:shape>
                <o:OLEObject Type="Embed" ProgID="Word.Document.12" ShapeID="_x0000_i1041" DrawAspect="Icon" ObjectID="_1783446657" r:id="rId49">
                  <o:FieldCodes>\s</o:FieldCodes>
                </o:OLEObject>
              </w:object>
            </w:r>
          </w:p>
          <w:p w:rsidR="00D961B6" w:rsidRPr="00B3065A" w:rsidRDefault="00D961B6" w:rsidP="005C56D0">
            <w:pPr>
              <w:jc w:val="both"/>
              <w:rPr>
                <w:rFonts w:cs="Arial"/>
              </w:rPr>
            </w:pPr>
            <w:r>
              <w:object w:dxaOrig="1508" w:dyaOrig="983" w14:anchorId="4D0BC9E6">
                <v:shape id="_x0000_i1042" type="#_x0000_t75" style="width:76pt;height:49pt" o:ole="">
                  <v:imagedata r:id="rId50" o:title=""/>
                </v:shape>
                <o:OLEObject Type="Embed" ProgID="Excel.Sheet.12" ShapeID="_x0000_i1042" DrawAspect="Icon" ObjectID="_1783446658" r:id="rId51"/>
              </w:object>
            </w:r>
          </w:p>
        </w:tc>
      </w:tr>
    </w:tbl>
    <w:p w:rsidR="00D961B6" w:rsidRPr="00B3065A" w:rsidRDefault="00D961B6" w:rsidP="00D961B6">
      <w:pPr>
        <w:jc w:val="both"/>
        <w:rPr>
          <w:rFonts w:cs="Arial"/>
        </w:rPr>
      </w:pPr>
    </w:p>
    <w:p w:rsidR="00D961B6" w:rsidRPr="00B3065A" w:rsidRDefault="00D961B6" w:rsidP="00D961B6">
      <w:pPr>
        <w:pStyle w:val="ListParagraph"/>
        <w:numPr>
          <w:ilvl w:val="1"/>
          <w:numId w:val="1"/>
        </w:numPr>
        <w:contextualSpacing w:val="0"/>
        <w:jc w:val="both"/>
        <w:rPr>
          <w:rFonts w:cs="Arial"/>
        </w:rPr>
      </w:pPr>
      <w:r w:rsidRPr="00B3065A">
        <w:rPr>
          <w:rFonts w:cs="Arial"/>
        </w:rPr>
        <w:t xml:space="preserve">Medical supplies such as needles and syringes may also be ordered from MOH via </w:t>
      </w:r>
      <w:r w:rsidRPr="004858A8">
        <w:rPr>
          <w:rFonts w:cs="Arial"/>
        </w:rPr>
        <w:t>MOH-appointed logistics partners</w:t>
      </w:r>
      <w:r w:rsidRPr="00B3065A">
        <w:rPr>
          <w:rFonts w:cs="Arial"/>
        </w:rPr>
        <w:t xml:space="preserve"> if the medical service provider is unable to get from their usual sources. </w:t>
      </w:r>
    </w:p>
    <w:p w:rsidR="00D961B6" w:rsidRPr="00AA159D" w:rsidRDefault="00D961B6" w:rsidP="00D961B6">
      <w:pPr>
        <w:spacing w:after="160"/>
        <w:jc w:val="both"/>
        <w:rPr>
          <w:rFonts w:cs="Arial"/>
          <w:b/>
          <w:bCs/>
        </w:rPr>
      </w:pPr>
    </w:p>
    <w:p w:rsidR="00D961B6" w:rsidRPr="00AA159D" w:rsidRDefault="00D961B6" w:rsidP="00D961B6">
      <w:pPr>
        <w:ind w:firstLine="567"/>
        <w:jc w:val="both"/>
        <w:rPr>
          <w:rFonts w:cs="Arial"/>
          <w:b/>
          <w:bCs/>
        </w:rPr>
      </w:pPr>
      <w:r w:rsidRPr="00AA159D">
        <w:rPr>
          <w:rFonts w:cs="Arial"/>
          <w:b/>
          <w:bCs/>
        </w:rPr>
        <w:t>Low Dead Volume (LDV) Needles &amp; Syringes</w:t>
      </w:r>
    </w:p>
    <w:p w:rsidR="00D961B6" w:rsidRDefault="00D961B6" w:rsidP="00D961B6">
      <w:pPr>
        <w:pStyle w:val="ListParagraph"/>
        <w:ind w:left="540"/>
        <w:contextualSpacing w:val="0"/>
        <w:jc w:val="both"/>
        <w:rPr>
          <w:rFonts w:cs="Arial"/>
        </w:rPr>
      </w:pPr>
    </w:p>
    <w:p w:rsidR="00D961B6" w:rsidRPr="00EC1C27" w:rsidRDefault="00D961B6" w:rsidP="00D961B6">
      <w:pPr>
        <w:pStyle w:val="ListParagraph"/>
        <w:numPr>
          <w:ilvl w:val="1"/>
          <w:numId w:val="1"/>
        </w:numPr>
        <w:contextualSpacing w:val="0"/>
        <w:jc w:val="both"/>
        <w:rPr>
          <w:rFonts w:cs="Arial"/>
        </w:rPr>
      </w:pPr>
      <w:r w:rsidRPr="00EC1C27">
        <w:rPr>
          <w:rFonts w:cs="Arial"/>
        </w:rPr>
        <w:t xml:space="preserve">Vaccination sites can order the </w:t>
      </w:r>
      <w:r w:rsidRPr="008B506E">
        <w:rPr>
          <w:rFonts w:cs="Arial"/>
          <w:b/>
          <w:bCs/>
        </w:rPr>
        <w:t xml:space="preserve">MICSAFE </w:t>
      </w:r>
      <w:r w:rsidR="008C6494" w:rsidRPr="008B506E">
        <w:rPr>
          <w:rFonts w:cs="Arial"/>
          <w:b/>
          <w:bCs/>
        </w:rPr>
        <w:t>NIPRO Slip</w:t>
      </w:r>
      <w:r w:rsidRPr="008B506E">
        <w:rPr>
          <w:rFonts w:cs="Arial"/>
          <w:b/>
          <w:bCs/>
        </w:rPr>
        <w:t xml:space="preserve"> Tip 1cc LDS</w:t>
      </w:r>
      <w:r w:rsidRPr="00F65F66">
        <w:rPr>
          <w:rFonts w:cs="Arial"/>
        </w:rPr>
        <w:t xml:space="preserve"> syringe and </w:t>
      </w:r>
      <w:r w:rsidRPr="008B506E">
        <w:rPr>
          <w:rFonts w:cs="Arial"/>
          <w:b/>
          <w:bCs/>
        </w:rPr>
        <w:t>NIPRO Hypodermic 25G needle</w:t>
      </w:r>
      <w:r w:rsidRPr="00EC1C27" w:rsidDel="00D12405">
        <w:rPr>
          <w:rFonts w:cs="Arial"/>
          <w:b/>
          <w:bCs/>
        </w:rPr>
        <w:t xml:space="preserve"> </w:t>
      </w:r>
      <w:r w:rsidRPr="00EC1C27">
        <w:rPr>
          <w:rFonts w:cs="Arial"/>
        </w:rPr>
        <w:t xml:space="preserve">(as a set). Users should attempt to extract </w:t>
      </w:r>
      <w:r>
        <w:rPr>
          <w:rFonts w:cs="Arial"/>
        </w:rPr>
        <w:t>6</w:t>
      </w:r>
      <w:r w:rsidRPr="00EC1C27">
        <w:rPr>
          <w:rFonts w:cs="Arial"/>
        </w:rPr>
        <w:t xml:space="preserve"> doses from </w:t>
      </w:r>
      <w:r w:rsidRPr="008F664B">
        <w:rPr>
          <w:rFonts w:cs="Arial"/>
        </w:rPr>
        <w:t>the Pfizer-Bio</w:t>
      </w:r>
      <w:r>
        <w:rPr>
          <w:rFonts w:cs="Arial"/>
        </w:rPr>
        <w:t>NT</w:t>
      </w:r>
      <w:r w:rsidRPr="008F664B">
        <w:rPr>
          <w:rFonts w:cs="Arial"/>
        </w:rPr>
        <w:t xml:space="preserve">ech/Comirnaty-mRNA </w:t>
      </w:r>
      <w:r>
        <w:rPr>
          <w:rFonts w:cs="Arial"/>
        </w:rPr>
        <w:t>Monovalent</w:t>
      </w:r>
      <w:r w:rsidRPr="008F664B">
        <w:rPr>
          <w:rFonts w:cs="Arial"/>
        </w:rPr>
        <w:t xml:space="preserve"> (</w:t>
      </w:r>
      <w:r>
        <w:rPr>
          <w:rFonts w:cs="Arial"/>
        </w:rPr>
        <w:t>5 to 11 years</w:t>
      </w:r>
      <w:r w:rsidRPr="00EC1C27">
        <w:rPr>
          <w:rFonts w:cs="Arial"/>
        </w:rPr>
        <w:t>) vial.</w:t>
      </w:r>
    </w:p>
    <w:p w:rsidR="00E66793" w:rsidRDefault="00E66793" w:rsidP="00211A39">
      <w:pPr>
        <w:pStyle w:val="ListParagraph"/>
        <w:ind w:left="567"/>
        <w:contextualSpacing w:val="0"/>
        <w:jc w:val="both"/>
        <w:rPr>
          <w:rFonts w:cs="Arial"/>
        </w:rPr>
      </w:pPr>
    </w:p>
    <w:p w:rsidR="006F53B8" w:rsidRPr="00B3065A" w:rsidRDefault="006F53B8" w:rsidP="00211A39">
      <w:pPr>
        <w:pStyle w:val="ListParagraph"/>
        <w:ind w:left="567"/>
        <w:contextualSpacing w:val="0"/>
        <w:jc w:val="both"/>
        <w:rPr>
          <w:rFonts w:cs="Arial"/>
        </w:rPr>
      </w:pPr>
    </w:p>
    <w:bookmarkEnd w:id="22"/>
    <w:bookmarkEnd w:id="23"/>
    <w:bookmarkEnd w:id="24"/>
    <w:p w:rsidR="00D961B6" w:rsidRPr="005E12F9" w:rsidRDefault="00D961B6" w:rsidP="00D961B6">
      <w:pPr>
        <w:pStyle w:val="Heading1"/>
        <w:spacing w:before="0"/>
        <w:jc w:val="both"/>
        <w:rPr>
          <w:sz w:val="22"/>
          <w:szCs w:val="22"/>
        </w:rPr>
      </w:pPr>
      <w:r w:rsidRPr="005E12F9">
        <w:rPr>
          <w:sz w:val="22"/>
          <w:szCs w:val="22"/>
        </w:rPr>
        <w:t>IT Systems</w:t>
      </w:r>
    </w:p>
    <w:p w:rsidR="00D961B6" w:rsidRPr="00B3065A" w:rsidRDefault="00D961B6" w:rsidP="00D961B6">
      <w:pPr>
        <w:pStyle w:val="ListParagraph"/>
        <w:numPr>
          <w:ilvl w:val="0"/>
          <w:numId w:val="4"/>
        </w:numPr>
        <w:contextualSpacing w:val="0"/>
        <w:jc w:val="both"/>
        <w:rPr>
          <w:rFonts w:cs="Arial"/>
          <w:vanish/>
          <w:highlight w:val="yellow"/>
        </w:rPr>
      </w:pPr>
    </w:p>
    <w:p w:rsidR="00D961B6" w:rsidRPr="00B3065A" w:rsidRDefault="00D961B6" w:rsidP="00D961B6">
      <w:pPr>
        <w:pStyle w:val="ListParagraph"/>
        <w:ind w:left="567"/>
        <w:contextualSpacing w:val="0"/>
        <w:jc w:val="both"/>
        <w:rPr>
          <w:rFonts w:cs="Arial"/>
          <w:highlight w:val="yellow"/>
        </w:rPr>
      </w:pPr>
    </w:p>
    <w:p w:rsidR="00D961B6" w:rsidRPr="005E12F9" w:rsidRDefault="00D961B6" w:rsidP="00D961B6">
      <w:pPr>
        <w:pStyle w:val="ListParagraph"/>
        <w:numPr>
          <w:ilvl w:val="0"/>
          <w:numId w:val="1"/>
        </w:numPr>
        <w:contextualSpacing w:val="0"/>
        <w:jc w:val="both"/>
        <w:rPr>
          <w:rFonts w:cs="Arial"/>
          <w:vanish/>
        </w:rPr>
      </w:pPr>
      <w:bookmarkStart w:id="28" w:name="_Hlk61448808"/>
    </w:p>
    <w:p w:rsidR="00D961B6" w:rsidRPr="00B3065A" w:rsidRDefault="00D961B6" w:rsidP="00D961B6">
      <w:pPr>
        <w:pStyle w:val="ListParagraph"/>
        <w:numPr>
          <w:ilvl w:val="1"/>
          <w:numId w:val="1"/>
        </w:numPr>
        <w:contextualSpacing w:val="0"/>
        <w:jc w:val="both"/>
        <w:rPr>
          <w:rFonts w:cs="Arial"/>
        </w:rPr>
      </w:pPr>
      <w:r w:rsidRPr="00B3065A">
        <w:rPr>
          <w:rFonts w:cs="Arial"/>
        </w:rPr>
        <w:t>The broad approach for IT systems is to provide a unified and integrated system to complement MOH vaccination sites with administrative and clinical functions to handle operational requirements.</w:t>
      </w:r>
    </w:p>
    <w:p w:rsidR="00D961B6" w:rsidRDefault="00D961B6" w:rsidP="00D961B6">
      <w:pPr>
        <w:pStyle w:val="ListParagraph"/>
        <w:ind w:left="540"/>
        <w:contextualSpacing w:val="0"/>
        <w:jc w:val="both"/>
        <w:rPr>
          <w:rFonts w:cs="Arial"/>
          <w:b/>
          <w:bCs/>
        </w:rPr>
      </w:pPr>
    </w:p>
    <w:p w:rsidR="006F53B8" w:rsidRPr="005E12F9" w:rsidRDefault="006F53B8" w:rsidP="00D961B6">
      <w:pPr>
        <w:pStyle w:val="ListParagraph"/>
        <w:ind w:left="540"/>
        <w:contextualSpacing w:val="0"/>
        <w:jc w:val="both"/>
        <w:rPr>
          <w:rFonts w:cs="Arial"/>
          <w:b/>
          <w:bCs/>
        </w:rPr>
      </w:pPr>
    </w:p>
    <w:p w:rsidR="00D961B6" w:rsidRPr="00B3065A" w:rsidRDefault="00D961B6" w:rsidP="00D961B6">
      <w:pPr>
        <w:pStyle w:val="ListParagraph"/>
        <w:ind w:left="540"/>
        <w:contextualSpacing w:val="0"/>
        <w:jc w:val="both"/>
        <w:rPr>
          <w:rFonts w:cs="Arial"/>
          <w:b/>
          <w:bCs/>
        </w:rPr>
      </w:pPr>
      <w:r>
        <w:rPr>
          <w:rFonts w:cs="Arial"/>
          <w:b/>
          <w:bCs/>
        </w:rPr>
        <w:t>Health</w:t>
      </w:r>
      <w:r w:rsidRPr="00B3065A">
        <w:rPr>
          <w:rFonts w:cs="Arial"/>
          <w:b/>
          <w:bCs/>
        </w:rPr>
        <w:t xml:space="preserve"> Appointment System (</w:t>
      </w:r>
      <w:r>
        <w:rPr>
          <w:rFonts w:cs="Arial"/>
          <w:b/>
          <w:bCs/>
        </w:rPr>
        <w:t>HAS</w:t>
      </w:r>
      <w:r w:rsidRPr="00B3065A">
        <w:rPr>
          <w:rFonts w:cs="Arial"/>
          <w:b/>
          <w:bCs/>
        </w:rPr>
        <w:t>)</w:t>
      </w:r>
    </w:p>
    <w:p w:rsidR="00D961B6" w:rsidRPr="005E12F9" w:rsidRDefault="00D961B6" w:rsidP="00D961B6">
      <w:pPr>
        <w:pStyle w:val="ListParagraph"/>
        <w:ind w:left="540"/>
        <w:contextualSpacing w:val="0"/>
        <w:jc w:val="both"/>
        <w:rPr>
          <w:rFonts w:cs="Arial"/>
          <w:b/>
          <w:bCs/>
        </w:rPr>
      </w:pPr>
    </w:p>
    <w:p w:rsidR="00687818" w:rsidRPr="00CA7B2D" w:rsidRDefault="00D961B6" w:rsidP="00CA7B2D">
      <w:pPr>
        <w:pStyle w:val="ListParagraph"/>
        <w:numPr>
          <w:ilvl w:val="1"/>
          <w:numId w:val="1"/>
        </w:numPr>
        <w:contextualSpacing w:val="0"/>
        <w:jc w:val="both"/>
        <w:rPr>
          <w:rFonts w:cs="Arial"/>
        </w:rPr>
      </w:pPr>
      <w:r w:rsidRPr="00D961B6">
        <w:rPr>
          <w:rFonts w:cs="Arial"/>
        </w:rPr>
        <w:t>The COVID-19 vaccination appointment booking function had been incorporated into the HAS to enable MOPs to book their COVID-19 vaccination appointments at the respective vaccination sites. This system will enable notifications and reminder functions to facilitate appointment attendance.</w:t>
      </w:r>
    </w:p>
    <w:p w:rsidR="00D961B6" w:rsidRPr="00AA159D" w:rsidRDefault="00D961B6" w:rsidP="00D961B6">
      <w:pPr>
        <w:jc w:val="both"/>
        <w:rPr>
          <w:rFonts w:cs="Arial"/>
          <w:b/>
          <w:bCs/>
        </w:rPr>
      </w:pPr>
    </w:p>
    <w:p w:rsidR="00D961B6" w:rsidRPr="00B3065A" w:rsidRDefault="00D961B6" w:rsidP="00D961B6">
      <w:pPr>
        <w:pStyle w:val="ListParagraph"/>
        <w:ind w:left="540"/>
        <w:contextualSpacing w:val="0"/>
        <w:jc w:val="both"/>
        <w:rPr>
          <w:rFonts w:cs="Arial"/>
          <w:b/>
          <w:bCs/>
        </w:rPr>
      </w:pPr>
      <w:r w:rsidRPr="00B3065A">
        <w:rPr>
          <w:rFonts w:cs="Arial"/>
          <w:b/>
          <w:bCs/>
        </w:rPr>
        <w:t>Vaccination Operations EMR System</w:t>
      </w:r>
    </w:p>
    <w:p w:rsidR="00D961B6" w:rsidRPr="005E12F9" w:rsidRDefault="00D961B6" w:rsidP="00D961B6">
      <w:pPr>
        <w:pStyle w:val="ListParagraph"/>
        <w:ind w:left="540"/>
        <w:contextualSpacing w:val="0"/>
        <w:jc w:val="both"/>
        <w:rPr>
          <w:rFonts w:cs="Arial"/>
          <w:b/>
          <w:bCs/>
        </w:rPr>
      </w:pPr>
    </w:p>
    <w:p w:rsidR="00D961B6" w:rsidRPr="00B3065A" w:rsidRDefault="00D961B6" w:rsidP="00D961B6">
      <w:pPr>
        <w:pStyle w:val="ListParagraph"/>
        <w:numPr>
          <w:ilvl w:val="1"/>
          <w:numId w:val="1"/>
        </w:numPr>
        <w:contextualSpacing w:val="0"/>
        <w:jc w:val="both"/>
        <w:rPr>
          <w:rFonts w:cs="Arial"/>
        </w:rPr>
      </w:pPr>
      <w:r w:rsidRPr="00B3065A">
        <w:rPr>
          <w:rFonts w:cs="Arial"/>
        </w:rPr>
        <w:t>GP Connect Lite (GPC Lite), Vaccination Care System (VCS) and Patient Risk Profile Portal (PRPP) have been identified to be the EMR Systems to manage the vaccination sites’ operations. Deployment of GPC Lite, VCS or PRPP to specific vaccination sites is at MOH’s discretion.</w:t>
      </w:r>
    </w:p>
    <w:p w:rsidR="00D961B6" w:rsidRPr="005E12F9" w:rsidRDefault="00D961B6" w:rsidP="00D961B6">
      <w:pPr>
        <w:pStyle w:val="ListParagraph"/>
        <w:ind w:left="540"/>
        <w:contextualSpacing w:val="0"/>
        <w:jc w:val="both"/>
        <w:rPr>
          <w:rFonts w:cs="Arial"/>
          <w:b/>
          <w:bCs/>
        </w:rPr>
      </w:pPr>
    </w:p>
    <w:p w:rsidR="00D961B6" w:rsidRPr="00B3065A" w:rsidRDefault="00D961B6" w:rsidP="00D961B6">
      <w:pPr>
        <w:pStyle w:val="ListParagraph"/>
        <w:ind w:left="540"/>
        <w:contextualSpacing w:val="0"/>
        <w:jc w:val="both"/>
        <w:rPr>
          <w:rFonts w:cs="Arial"/>
          <w:b/>
          <w:bCs/>
        </w:rPr>
      </w:pPr>
      <w:r w:rsidRPr="00B3065A">
        <w:rPr>
          <w:rFonts w:cs="Arial"/>
          <w:b/>
          <w:bCs/>
        </w:rPr>
        <w:t>Updating of COVID-19 Vaccination Records into National Immunisation Registry (NIR)</w:t>
      </w:r>
    </w:p>
    <w:p w:rsidR="00D961B6" w:rsidRDefault="00D961B6" w:rsidP="00D961B6">
      <w:pPr>
        <w:pStyle w:val="ListParagraph"/>
        <w:ind w:left="540"/>
        <w:contextualSpacing w:val="0"/>
        <w:jc w:val="both"/>
        <w:rPr>
          <w:rFonts w:cs="Arial"/>
          <w:b/>
          <w:bCs/>
        </w:rPr>
      </w:pPr>
    </w:p>
    <w:p w:rsidR="00D961B6" w:rsidRPr="005E12F9" w:rsidRDefault="00D961B6" w:rsidP="00D961B6">
      <w:pPr>
        <w:pStyle w:val="ListParagraph"/>
        <w:numPr>
          <w:ilvl w:val="1"/>
          <w:numId w:val="1"/>
        </w:numPr>
        <w:contextualSpacing w:val="0"/>
        <w:jc w:val="both"/>
        <w:rPr>
          <w:rFonts w:cs="Arial"/>
        </w:rPr>
      </w:pPr>
      <w:r w:rsidRPr="005E12F9">
        <w:rPr>
          <w:rFonts w:cs="Arial"/>
        </w:rPr>
        <w:t xml:space="preserve">Updating of vaccination records into NIR will be done via GPC Lite/VCS/PRPP automatically. Vaccination sites are to ensure that all clients’ vaccination records accumulated within each operational day are entered into GPC Lite/VCS/PRPP by </w:t>
      </w:r>
      <w:r w:rsidRPr="005E12F9">
        <w:rPr>
          <w:rFonts w:cs="Arial"/>
          <w:b/>
          <w:bCs/>
          <w:u w:val="single"/>
        </w:rPr>
        <w:t>2200H</w:t>
      </w:r>
      <w:r w:rsidRPr="005E12F9">
        <w:rPr>
          <w:rFonts w:cs="Arial"/>
        </w:rPr>
        <w:t xml:space="preserve"> on the same day.</w:t>
      </w:r>
    </w:p>
    <w:p w:rsidR="00D961B6" w:rsidRPr="005E12F9" w:rsidRDefault="00D961B6" w:rsidP="00D961B6">
      <w:pPr>
        <w:pStyle w:val="ListParagraph"/>
        <w:ind w:left="540"/>
        <w:contextualSpacing w:val="0"/>
        <w:jc w:val="both"/>
        <w:rPr>
          <w:rFonts w:cs="Arial"/>
          <w:b/>
          <w:bCs/>
        </w:rPr>
      </w:pPr>
    </w:p>
    <w:p w:rsidR="00D961B6" w:rsidRPr="00B3065A" w:rsidRDefault="00D961B6" w:rsidP="00D961B6">
      <w:pPr>
        <w:pStyle w:val="ListParagraph"/>
        <w:ind w:left="540"/>
        <w:contextualSpacing w:val="0"/>
        <w:jc w:val="both"/>
        <w:rPr>
          <w:rFonts w:cs="Arial"/>
          <w:b/>
          <w:bCs/>
        </w:rPr>
      </w:pPr>
      <w:r w:rsidRPr="00B3065A">
        <w:rPr>
          <w:rFonts w:cs="Arial"/>
          <w:b/>
          <w:bCs/>
        </w:rPr>
        <w:t>Manual Updating of Vaccination Records into NIR</w:t>
      </w:r>
    </w:p>
    <w:p w:rsidR="00D961B6" w:rsidRDefault="00D961B6" w:rsidP="00D961B6">
      <w:pPr>
        <w:pStyle w:val="ListParagraph"/>
        <w:ind w:left="567"/>
        <w:contextualSpacing w:val="0"/>
        <w:jc w:val="both"/>
        <w:rPr>
          <w:rFonts w:cs="Arial"/>
        </w:rPr>
      </w:pPr>
    </w:p>
    <w:p w:rsidR="00D961B6" w:rsidRPr="005E12F9" w:rsidRDefault="00D961B6" w:rsidP="00D961B6">
      <w:pPr>
        <w:pStyle w:val="ListParagraph"/>
        <w:numPr>
          <w:ilvl w:val="1"/>
          <w:numId w:val="1"/>
        </w:numPr>
        <w:ind w:right="95"/>
        <w:contextualSpacing w:val="0"/>
        <w:jc w:val="both"/>
        <w:rPr>
          <w:rFonts w:cs="Arial"/>
        </w:rPr>
      </w:pPr>
      <w:r w:rsidRPr="005E12F9">
        <w:rPr>
          <w:rFonts w:cs="Arial"/>
        </w:rPr>
        <w:t xml:space="preserve">There are currently 2 main methods to manually update vaccination records into the NIR Web Portal. Operators performing the updating of vaccination records via this route are to login using their CorpPass account using this internet link: </w:t>
      </w:r>
      <w:hyperlink r:id="rId52" w:history="1">
        <w:r w:rsidRPr="005E12F9">
          <w:rPr>
            <w:rStyle w:val="Hyperlink"/>
            <w:rFonts w:cs="Arial"/>
          </w:rPr>
          <w:t>https://www.nir.hpb.gov.sg/nird/ens/enslogin</w:t>
        </w:r>
      </w:hyperlink>
      <w:r w:rsidRPr="005E12F9">
        <w:rPr>
          <w:rFonts w:cs="Arial"/>
          <w:u w:val="single"/>
        </w:rPr>
        <w:t>.</w:t>
      </w:r>
    </w:p>
    <w:p w:rsidR="00D961B6" w:rsidRDefault="00D961B6" w:rsidP="00D961B6">
      <w:pPr>
        <w:pStyle w:val="ListParagraph"/>
        <w:ind w:left="567"/>
        <w:contextualSpacing w:val="0"/>
        <w:jc w:val="both"/>
        <w:rPr>
          <w:rFonts w:cs="Arial"/>
        </w:rPr>
      </w:pPr>
    </w:p>
    <w:p w:rsidR="00D961B6" w:rsidRDefault="00D961B6" w:rsidP="00D961B6">
      <w:pPr>
        <w:pStyle w:val="ListParagraph"/>
        <w:numPr>
          <w:ilvl w:val="1"/>
          <w:numId w:val="1"/>
        </w:numPr>
        <w:contextualSpacing w:val="0"/>
        <w:jc w:val="both"/>
        <w:rPr>
          <w:rFonts w:cs="Arial"/>
        </w:rPr>
      </w:pPr>
      <w:r w:rsidRPr="00400F46">
        <w:rPr>
          <w:rFonts w:cs="Arial"/>
          <w:i/>
          <w:iCs/>
          <w:u w:val="single"/>
        </w:rPr>
        <w:t>Data Entry Method</w:t>
      </w:r>
      <w:r w:rsidRPr="00400F46">
        <w:rPr>
          <w:rFonts w:cs="Arial"/>
        </w:rPr>
        <w:t>: Operators may choose one of the following relevant modes to perform the data entry function on the NIR Web Portal. ‘</w:t>
      </w:r>
      <w:r w:rsidRPr="00400F46">
        <w:rPr>
          <w:rFonts w:cs="Arial"/>
          <w:i/>
          <w:iCs/>
        </w:rPr>
        <w:t>Individual Record Entry (12 Years Old and Above)</w:t>
      </w:r>
      <w:r w:rsidRPr="00400F46">
        <w:rPr>
          <w:rFonts w:cs="Arial"/>
        </w:rPr>
        <w:t>’, ‘</w:t>
      </w:r>
      <w:r w:rsidRPr="00400F46">
        <w:rPr>
          <w:rFonts w:cs="Arial"/>
          <w:i/>
          <w:iCs/>
        </w:rPr>
        <w:t>Individual Record Entry (Below 12 Years Old)</w:t>
      </w:r>
      <w:r w:rsidRPr="00400F46">
        <w:rPr>
          <w:rFonts w:cs="Arial"/>
        </w:rPr>
        <w:t>’ and “</w:t>
      </w:r>
      <w:r w:rsidRPr="00400F46">
        <w:rPr>
          <w:rFonts w:cs="Arial"/>
          <w:i/>
          <w:iCs/>
        </w:rPr>
        <w:t>Multiple</w:t>
      </w:r>
      <w:r w:rsidRPr="005E12F9">
        <w:rPr>
          <w:rFonts w:cs="Arial"/>
          <w:i/>
          <w:iCs/>
        </w:rPr>
        <w:t xml:space="preserve"> Record Entry</w:t>
      </w:r>
      <w:r w:rsidRPr="005E12F9">
        <w:rPr>
          <w:rFonts w:cs="Arial"/>
        </w:rPr>
        <w:t>”.</w:t>
      </w:r>
    </w:p>
    <w:p w:rsidR="00D961B6" w:rsidRPr="005E12F9" w:rsidRDefault="00D961B6" w:rsidP="00D961B6">
      <w:pPr>
        <w:pStyle w:val="ListParagraph"/>
        <w:ind w:left="567"/>
        <w:contextualSpacing w:val="0"/>
        <w:jc w:val="both"/>
        <w:rPr>
          <w:rFonts w:cs="Arial"/>
          <w:i/>
          <w:iCs/>
          <w:u w:val="single"/>
        </w:rPr>
      </w:pPr>
    </w:p>
    <w:p w:rsidR="00D961B6" w:rsidRPr="005E12F9" w:rsidRDefault="00D961B6" w:rsidP="00D961B6">
      <w:pPr>
        <w:pStyle w:val="ListParagraph"/>
        <w:numPr>
          <w:ilvl w:val="1"/>
          <w:numId w:val="1"/>
        </w:numPr>
        <w:contextualSpacing w:val="0"/>
        <w:jc w:val="both"/>
        <w:rPr>
          <w:rFonts w:cs="Arial"/>
        </w:rPr>
      </w:pPr>
      <w:r w:rsidRPr="005E12F9">
        <w:rPr>
          <w:rFonts w:cs="Arial"/>
          <w:i/>
          <w:iCs/>
          <w:u w:val="single"/>
        </w:rPr>
        <w:t>Batch (Excel) Upload Method</w:t>
      </w:r>
      <w:r w:rsidRPr="005E12F9">
        <w:rPr>
          <w:rFonts w:cs="Arial"/>
        </w:rPr>
        <w:t xml:space="preserve">: Operators may choose to batch vaccination records and pre-populate them into the .xls excel template provided on the NIR Web Portal. The completed templates are to be uploaded into the NIR Web Portal within the daily stipulated timing. </w:t>
      </w:r>
      <w:r w:rsidRPr="005E12F9">
        <w:rPr>
          <w:rFonts w:cs="Arial"/>
          <w:b/>
          <w:bCs/>
        </w:rPr>
        <w:t>Operators should adhere to this template and not develop one of their own.</w:t>
      </w:r>
    </w:p>
    <w:p w:rsidR="00D961B6" w:rsidRPr="005E12F9" w:rsidRDefault="00D961B6" w:rsidP="00D961B6">
      <w:pPr>
        <w:pStyle w:val="ListParagraph"/>
        <w:ind w:left="567"/>
        <w:contextualSpacing w:val="0"/>
        <w:jc w:val="both"/>
        <w:rPr>
          <w:rFonts w:cs="Arial"/>
        </w:rPr>
      </w:pPr>
    </w:p>
    <w:p w:rsidR="00D961B6" w:rsidRDefault="00D961B6" w:rsidP="00D961B6">
      <w:pPr>
        <w:pStyle w:val="ListParagraph"/>
        <w:numPr>
          <w:ilvl w:val="1"/>
          <w:numId w:val="1"/>
        </w:numPr>
        <w:contextualSpacing w:val="0"/>
        <w:jc w:val="both"/>
        <w:rPr>
          <w:rFonts w:cs="Arial"/>
        </w:rPr>
      </w:pPr>
      <w:r w:rsidRPr="005E12F9">
        <w:rPr>
          <w:rFonts w:cs="Arial"/>
        </w:rPr>
        <w:t>To perform the operations specified in this section efficiently, operators are advised to apply for an appropriate number of NIR “User” accounts within their respective organisations to assist with the updating requirements.</w:t>
      </w:r>
    </w:p>
    <w:p w:rsidR="00D961B6" w:rsidRPr="005E12F9" w:rsidRDefault="00D961B6" w:rsidP="00D961B6">
      <w:pPr>
        <w:pStyle w:val="ListParagraph"/>
        <w:ind w:left="567"/>
        <w:contextualSpacing w:val="0"/>
        <w:jc w:val="both"/>
        <w:rPr>
          <w:rFonts w:cs="Arial"/>
        </w:rPr>
      </w:pPr>
    </w:p>
    <w:p w:rsidR="00D961B6" w:rsidRPr="005E12F9" w:rsidRDefault="00D961B6" w:rsidP="00D961B6">
      <w:pPr>
        <w:pStyle w:val="ListParagraph"/>
        <w:numPr>
          <w:ilvl w:val="1"/>
          <w:numId w:val="1"/>
        </w:numPr>
        <w:contextualSpacing w:val="0"/>
        <w:jc w:val="both"/>
        <w:rPr>
          <w:rFonts w:cs="Arial"/>
        </w:rPr>
      </w:pPr>
      <w:r w:rsidRPr="005E12F9">
        <w:rPr>
          <w:rFonts w:cs="Arial"/>
        </w:rPr>
        <w:t>The collective instructions for manual updating of vaccination records into NIR are prescribed in the following document.</w:t>
      </w:r>
    </w:p>
    <w:p w:rsidR="00D961B6" w:rsidRPr="00B3065A" w:rsidRDefault="00D961B6" w:rsidP="00D961B6">
      <w:pPr>
        <w:pStyle w:val="ListParagraph"/>
        <w:ind w:left="567"/>
        <w:contextualSpacing w:val="0"/>
        <w:jc w:val="both"/>
        <w:rPr>
          <w:rFonts w:cs="Arial"/>
        </w:rPr>
      </w:pPr>
    </w:p>
    <w:tbl>
      <w:tblPr>
        <w:tblStyle w:val="TableGrid"/>
        <w:tblW w:w="0" w:type="auto"/>
        <w:tblInd w:w="562" w:type="dxa"/>
        <w:tblLook w:val="04A0" w:firstRow="1" w:lastRow="0" w:firstColumn="1" w:lastColumn="0" w:noHBand="0" w:noVBand="1"/>
      </w:tblPr>
      <w:tblGrid>
        <w:gridCol w:w="4227"/>
        <w:gridCol w:w="4227"/>
      </w:tblGrid>
      <w:tr w:rsidR="00D961B6" w:rsidRPr="00B3065A" w:rsidTr="005C56D0">
        <w:tc>
          <w:tcPr>
            <w:tcW w:w="4227" w:type="dxa"/>
            <w:shd w:val="clear" w:color="auto" w:fill="auto"/>
          </w:tcPr>
          <w:p w:rsidR="00D961B6" w:rsidRPr="00B3065A" w:rsidRDefault="00D961B6" w:rsidP="005C56D0">
            <w:pPr>
              <w:jc w:val="center"/>
              <w:rPr>
                <w:rFonts w:cs="Arial"/>
              </w:rPr>
            </w:pPr>
            <w:bookmarkStart w:id="29" w:name="_Hlk61448655"/>
            <w:r w:rsidRPr="00B3065A">
              <w:rPr>
                <w:rFonts w:cs="Arial"/>
                <w:b/>
                <w:bCs/>
              </w:rPr>
              <w:t>Document</w:t>
            </w:r>
          </w:p>
        </w:tc>
        <w:tc>
          <w:tcPr>
            <w:tcW w:w="4227" w:type="dxa"/>
            <w:shd w:val="clear" w:color="auto" w:fill="auto"/>
          </w:tcPr>
          <w:p w:rsidR="00D961B6" w:rsidRPr="00B3065A" w:rsidRDefault="00D961B6" w:rsidP="005C56D0">
            <w:pPr>
              <w:jc w:val="center"/>
              <w:rPr>
                <w:rFonts w:cs="Arial"/>
              </w:rPr>
            </w:pPr>
            <w:r w:rsidRPr="00B3065A">
              <w:rPr>
                <w:rFonts w:cs="Arial"/>
                <w:b/>
                <w:bCs/>
              </w:rPr>
              <w:t>Attachment</w:t>
            </w:r>
          </w:p>
        </w:tc>
      </w:tr>
      <w:tr w:rsidR="00D961B6" w:rsidRPr="00B3065A" w:rsidTr="005C56D0">
        <w:tc>
          <w:tcPr>
            <w:tcW w:w="4227" w:type="dxa"/>
            <w:shd w:val="clear" w:color="auto" w:fill="auto"/>
          </w:tcPr>
          <w:p w:rsidR="00D961B6" w:rsidRPr="00B3065A" w:rsidRDefault="00D961B6" w:rsidP="005C56D0">
            <w:pPr>
              <w:jc w:val="center"/>
              <w:rPr>
                <w:rFonts w:cs="Arial"/>
              </w:rPr>
            </w:pPr>
            <w:r w:rsidRPr="00B3065A">
              <w:rPr>
                <w:rFonts w:cs="Arial"/>
              </w:rPr>
              <w:t>NIR User Guide for COVID Notification</w:t>
            </w:r>
          </w:p>
          <w:p w:rsidR="00D961B6" w:rsidRPr="00B3065A" w:rsidRDefault="00D961B6" w:rsidP="005C56D0">
            <w:pPr>
              <w:jc w:val="center"/>
              <w:rPr>
                <w:rFonts w:cs="Arial"/>
              </w:rPr>
            </w:pPr>
            <w:r w:rsidRPr="00B3065A">
              <w:rPr>
                <w:rFonts w:cs="Arial"/>
              </w:rPr>
              <w:t xml:space="preserve">(Annex </w:t>
            </w:r>
            <w:r w:rsidR="00666F58">
              <w:rPr>
                <w:rFonts w:cs="Arial"/>
              </w:rPr>
              <w:t>N</w:t>
            </w:r>
            <w:r w:rsidRPr="00B3065A">
              <w:rPr>
                <w:rFonts w:cs="Arial"/>
              </w:rPr>
              <w:t>)</w:t>
            </w:r>
          </w:p>
        </w:tc>
        <w:tc>
          <w:tcPr>
            <w:tcW w:w="4227" w:type="dxa"/>
            <w:shd w:val="clear" w:color="auto" w:fill="auto"/>
          </w:tcPr>
          <w:p w:rsidR="00D961B6" w:rsidRPr="00B3065A" w:rsidRDefault="00D961B6" w:rsidP="005C56D0">
            <w:pPr>
              <w:jc w:val="center"/>
              <w:rPr>
                <w:rFonts w:cs="Arial"/>
              </w:rPr>
            </w:pPr>
            <w:r w:rsidRPr="00B3065A">
              <w:rPr>
                <w:rFonts w:cs="Arial"/>
              </w:rPr>
              <w:object w:dxaOrig="1508" w:dyaOrig="984" w14:anchorId="7A89D636">
                <v:shape id="_x0000_i1043" type="#_x0000_t75" style="width:78.5pt;height:49pt" o:ole="">
                  <v:imagedata r:id="rId53" o:title=""/>
                </v:shape>
                <o:OLEObject Type="Embed" ProgID="AcroExch.Document.DC" ShapeID="_x0000_i1043" DrawAspect="Icon" ObjectID="_1783446659" r:id="rId54"/>
              </w:object>
            </w:r>
          </w:p>
        </w:tc>
      </w:tr>
      <w:bookmarkEnd w:id="28"/>
      <w:bookmarkEnd w:id="29"/>
    </w:tbl>
    <w:p w:rsidR="00D961B6" w:rsidRDefault="00D961B6" w:rsidP="00D961B6">
      <w:pPr>
        <w:pStyle w:val="Heading1"/>
        <w:spacing w:before="0"/>
        <w:jc w:val="both"/>
        <w:rPr>
          <w:sz w:val="22"/>
          <w:szCs w:val="22"/>
        </w:rPr>
      </w:pPr>
    </w:p>
    <w:p w:rsidR="006F53B8" w:rsidRDefault="006F53B8" w:rsidP="00D961B6">
      <w:pPr>
        <w:pStyle w:val="Heading1"/>
        <w:spacing w:before="0"/>
        <w:jc w:val="both"/>
        <w:rPr>
          <w:sz w:val="22"/>
          <w:szCs w:val="22"/>
        </w:rPr>
      </w:pPr>
    </w:p>
    <w:p w:rsidR="006F53B8" w:rsidRDefault="006F53B8" w:rsidP="00D961B6">
      <w:pPr>
        <w:pStyle w:val="Heading1"/>
        <w:spacing w:before="0"/>
        <w:jc w:val="both"/>
        <w:rPr>
          <w:sz w:val="22"/>
          <w:szCs w:val="22"/>
        </w:rPr>
      </w:pPr>
    </w:p>
    <w:p w:rsidR="00D961B6" w:rsidRPr="005E12F9" w:rsidRDefault="00D961B6" w:rsidP="00D961B6">
      <w:pPr>
        <w:pStyle w:val="Heading1"/>
        <w:spacing w:before="0"/>
        <w:jc w:val="both"/>
        <w:rPr>
          <w:sz w:val="22"/>
          <w:szCs w:val="22"/>
        </w:rPr>
      </w:pPr>
      <w:r w:rsidRPr="005E12F9">
        <w:rPr>
          <w:sz w:val="22"/>
          <w:szCs w:val="22"/>
        </w:rPr>
        <w:t>Conclusion</w:t>
      </w:r>
    </w:p>
    <w:p w:rsidR="00D961B6" w:rsidRPr="00B3065A" w:rsidRDefault="00D961B6" w:rsidP="00D961B6">
      <w:pPr>
        <w:jc w:val="both"/>
        <w:rPr>
          <w:rFonts w:cs="Arial"/>
          <w:highlight w:val="yellow"/>
        </w:rPr>
      </w:pPr>
      <w:bookmarkStart w:id="30" w:name="_Hlk60140550"/>
    </w:p>
    <w:p w:rsidR="00D961B6" w:rsidRPr="00B3065A" w:rsidRDefault="00D961B6" w:rsidP="00D961B6">
      <w:pPr>
        <w:pStyle w:val="ListParagraph"/>
        <w:numPr>
          <w:ilvl w:val="0"/>
          <w:numId w:val="4"/>
        </w:numPr>
        <w:contextualSpacing w:val="0"/>
        <w:jc w:val="both"/>
        <w:rPr>
          <w:rFonts w:cs="Arial"/>
          <w:vanish/>
          <w:highlight w:val="yellow"/>
        </w:rPr>
      </w:pPr>
    </w:p>
    <w:p w:rsidR="00D961B6" w:rsidRPr="00B3065A" w:rsidRDefault="00D961B6" w:rsidP="00D961B6">
      <w:pPr>
        <w:pStyle w:val="ListParagraph"/>
        <w:numPr>
          <w:ilvl w:val="0"/>
          <w:numId w:val="1"/>
        </w:numPr>
        <w:ind w:left="540" w:hanging="540"/>
        <w:contextualSpacing w:val="0"/>
        <w:jc w:val="both"/>
        <w:rPr>
          <w:rFonts w:cs="Arial"/>
        </w:rPr>
      </w:pPr>
      <w:r w:rsidRPr="00B3065A">
        <w:rPr>
          <w:rFonts w:cs="Arial"/>
        </w:rPr>
        <w:t xml:space="preserve">MOH seeks </w:t>
      </w:r>
      <w:r w:rsidRPr="000F45B0">
        <w:rPr>
          <w:rFonts w:cs="Arial"/>
        </w:rPr>
        <w:t>Vaccination Providers’</w:t>
      </w:r>
      <w:r w:rsidRPr="00B3065A">
        <w:rPr>
          <w:rFonts w:cs="Arial"/>
        </w:rPr>
        <w:t xml:space="preserve"> </w:t>
      </w:r>
      <w:r>
        <w:rPr>
          <w:rFonts w:cs="Arial"/>
        </w:rPr>
        <w:t xml:space="preserve">adherence to the requirements stipulated in this Operations Instruction when carrying out vaccination service for their clients. </w:t>
      </w:r>
      <w:r w:rsidRPr="00B3065A">
        <w:rPr>
          <w:rFonts w:cs="Arial"/>
        </w:rPr>
        <w:t xml:space="preserve"> </w:t>
      </w:r>
    </w:p>
    <w:bookmarkEnd w:id="30"/>
    <w:p w:rsidR="00D961B6" w:rsidRPr="00B3065A" w:rsidRDefault="00D961B6" w:rsidP="00D961B6">
      <w:pPr>
        <w:pStyle w:val="ListParagraph"/>
        <w:ind w:left="567"/>
        <w:contextualSpacing w:val="0"/>
        <w:jc w:val="both"/>
        <w:rPr>
          <w:rFonts w:cs="Arial"/>
        </w:rPr>
      </w:pPr>
    </w:p>
    <w:p w:rsidR="00D961B6" w:rsidRPr="005E12F9" w:rsidRDefault="00D961B6" w:rsidP="00D961B6">
      <w:pPr>
        <w:pStyle w:val="Heading1"/>
        <w:spacing w:before="0"/>
        <w:jc w:val="both"/>
        <w:rPr>
          <w:sz w:val="22"/>
          <w:szCs w:val="22"/>
        </w:rPr>
      </w:pPr>
      <w:r w:rsidRPr="005E12F9">
        <w:rPr>
          <w:sz w:val="22"/>
          <w:szCs w:val="22"/>
        </w:rPr>
        <w:t>MOH Contact Information</w:t>
      </w:r>
    </w:p>
    <w:p w:rsidR="00D961B6" w:rsidRDefault="00D961B6" w:rsidP="00D961B6">
      <w:pPr>
        <w:pStyle w:val="ListParagraph"/>
        <w:ind w:left="540"/>
        <w:contextualSpacing w:val="0"/>
        <w:jc w:val="both"/>
        <w:rPr>
          <w:rFonts w:cs="Arial"/>
        </w:rPr>
      </w:pPr>
    </w:p>
    <w:p w:rsidR="00D961B6" w:rsidRPr="005E12F9" w:rsidRDefault="00D961B6" w:rsidP="00D961B6">
      <w:pPr>
        <w:pStyle w:val="ListParagraph"/>
        <w:numPr>
          <w:ilvl w:val="0"/>
          <w:numId w:val="1"/>
        </w:numPr>
        <w:ind w:left="540" w:hanging="540"/>
        <w:contextualSpacing w:val="0"/>
        <w:jc w:val="both"/>
        <w:rPr>
          <w:rFonts w:cs="Arial"/>
        </w:rPr>
      </w:pPr>
      <w:r w:rsidRPr="005E12F9">
        <w:rPr>
          <w:rFonts w:cs="Arial"/>
        </w:rPr>
        <w:t>MOH</w:t>
      </w:r>
      <w:r w:rsidRPr="005E12F9">
        <w:rPr>
          <w:rFonts w:eastAsia="DengXian" w:cs="Arial"/>
        </w:rPr>
        <w:t xml:space="preserve"> Vaccination Operations Centre (VOC): </w:t>
      </w:r>
      <w:hyperlink r:id="rId55" w:history="1">
        <w:r w:rsidRPr="005E12F9">
          <w:rPr>
            <w:rStyle w:val="Hyperlink"/>
            <w:rFonts w:eastAsia="DengXian" w:cs="Arial"/>
          </w:rPr>
          <w:t>COVID_Vaccination_Ops@moh.gov.sg</w:t>
        </w:r>
      </w:hyperlink>
    </w:p>
    <w:p w:rsidR="00D961B6" w:rsidRDefault="00D961B6" w:rsidP="00D961B6">
      <w:pPr>
        <w:pBdr>
          <w:bottom w:val="dotted" w:sz="24" w:space="1" w:color="auto"/>
        </w:pBdr>
        <w:jc w:val="both"/>
        <w:rPr>
          <w:rFonts w:eastAsia="DengXian"/>
        </w:rPr>
      </w:pPr>
    </w:p>
    <w:p w:rsidR="00F036B9" w:rsidRDefault="00F036B9" w:rsidP="00D961B6">
      <w:pPr>
        <w:pBdr>
          <w:bottom w:val="dotted" w:sz="24" w:space="1" w:color="auto"/>
        </w:pBdr>
        <w:jc w:val="both"/>
        <w:rPr>
          <w:rFonts w:eastAsia="DengXian"/>
        </w:rPr>
      </w:pPr>
    </w:p>
    <w:p w:rsidR="006F53B8" w:rsidRDefault="006F53B8" w:rsidP="00211A39">
      <w:pPr>
        <w:jc w:val="both"/>
        <w:rPr>
          <w:rFonts w:cs="Arial"/>
          <w:b/>
          <w:bCs/>
          <w:color w:val="002060"/>
        </w:rPr>
      </w:pPr>
    </w:p>
    <w:p w:rsidR="00CC71D9" w:rsidRDefault="00CC71D9" w:rsidP="00211A39">
      <w:pPr>
        <w:jc w:val="both"/>
        <w:rPr>
          <w:rFonts w:cs="Arial"/>
          <w:b/>
          <w:bCs/>
          <w:color w:val="002060"/>
        </w:rPr>
      </w:pPr>
      <w:r w:rsidRPr="005E12F9">
        <w:rPr>
          <w:rFonts w:cs="Arial"/>
          <w:b/>
          <w:bCs/>
          <w:color w:val="002060"/>
        </w:rPr>
        <w:t>Issued by:</w:t>
      </w:r>
    </w:p>
    <w:p w:rsidR="00B657E1" w:rsidRDefault="00B657E1" w:rsidP="00211A39">
      <w:pPr>
        <w:jc w:val="both"/>
        <w:rPr>
          <w:rFonts w:cs="Arial"/>
          <w:b/>
          <w:bCs/>
          <w:color w:val="002060"/>
        </w:rPr>
      </w:pPr>
    </w:p>
    <w:p w:rsidR="003915B0" w:rsidRDefault="003915B0" w:rsidP="003915B0">
      <w:pPr>
        <w:rPr>
          <w:rFonts w:eastAsia="DengXian"/>
          <w:b/>
          <w:bCs/>
        </w:rPr>
      </w:pPr>
      <w:bookmarkStart w:id="31" w:name="_Hlk66745737"/>
      <w:bookmarkStart w:id="32" w:name="_Hlk66745727"/>
      <w:r>
        <w:rPr>
          <w:rFonts w:eastAsia="DengXian"/>
          <w:b/>
          <w:bCs/>
        </w:rPr>
        <w:t>S. Vijakumar</w:t>
      </w:r>
    </w:p>
    <w:p w:rsidR="003915B0" w:rsidRDefault="003915B0" w:rsidP="003915B0">
      <w:pPr>
        <w:rPr>
          <w:rFonts w:eastAsia="DengXian"/>
          <w:b/>
          <w:bCs/>
        </w:rPr>
      </w:pPr>
      <w:r w:rsidRPr="00DF21CB">
        <w:rPr>
          <w:rFonts w:eastAsia="DengXian"/>
          <w:b/>
          <w:bCs/>
        </w:rPr>
        <w:t>Director, Vaccination Operations Task Group</w:t>
      </w:r>
    </w:p>
    <w:bookmarkEnd w:id="31"/>
    <w:p w:rsidR="003915B0" w:rsidRPr="00DF21CB" w:rsidRDefault="003915B0" w:rsidP="003915B0">
      <w:pPr>
        <w:rPr>
          <w:rFonts w:eastAsia="DengXian"/>
          <w:b/>
          <w:bCs/>
        </w:rPr>
      </w:pPr>
      <w:r>
        <w:rPr>
          <w:rFonts w:eastAsia="DengXian"/>
          <w:b/>
          <w:bCs/>
        </w:rPr>
        <w:t>Ministry of Health</w:t>
      </w:r>
    </w:p>
    <w:p w:rsidR="003915B0" w:rsidRDefault="003915B0" w:rsidP="003915B0">
      <w:pPr>
        <w:pStyle w:val="Heading1"/>
        <w:rPr>
          <w:rFonts w:eastAsia="DengXian"/>
        </w:rPr>
      </w:pPr>
      <w:bookmarkStart w:id="33" w:name="_Toc116485510"/>
      <w:bookmarkEnd w:id="32"/>
      <w:r>
        <w:rPr>
          <w:rFonts w:eastAsia="DengXian"/>
        </w:rPr>
        <w:t>On behalf of:</w:t>
      </w:r>
      <w:bookmarkEnd w:id="33"/>
    </w:p>
    <w:p w:rsidR="003915B0" w:rsidRPr="00DF21CB" w:rsidRDefault="003915B0" w:rsidP="003915B0">
      <w:pPr>
        <w:rPr>
          <w:rFonts w:eastAsia="DengXian"/>
        </w:rPr>
      </w:pPr>
    </w:p>
    <w:p w:rsidR="003915B0" w:rsidRDefault="003915B0" w:rsidP="003915B0">
      <w:pPr>
        <w:pStyle w:val="Heading2"/>
        <w:rPr>
          <w:rFonts w:eastAsia="DengXian"/>
        </w:rPr>
      </w:pPr>
      <w:bookmarkStart w:id="34" w:name="_Toc116485511"/>
      <w:r>
        <w:rPr>
          <w:rFonts w:eastAsia="DengXian"/>
        </w:rPr>
        <w:t>Group Director, Crisis Strategy and Operations Group</w:t>
      </w:r>
      <w:bookmarkEnd w:id="34"/>
    </w:p>
    <w:p w:rsidR="003915B0" w:rsidRPr="00AE7E00" w:rsidRDefault="003915B0" w:rsidP="003915B0">
      <w:pPr>
        <w:pStyle w:val="Heading2"/>
        <w:rPr>
          <w:rFonts w:eastAsia="DengXian"/>
        </w:rPr>
      </w:pPr>
      <w:bookmarkStart w:id="35" w:name="_Toc116485512"/>
      <w:r>
        <w:rPr>
          <w:rFonts w:eastAsia="DengXian"/>
        </w:rPr>
        <w:t>Ministry of Health</w:t>
      </w:r>
      <w:bookmarkEnd w:id="35"/>
    </w:p>
    <w:p w:rsidR="00F70DA7" w:rsidRDefault="00F70DA7" w:rsidP="00F70DA7">
      <w:pPr>
        <w:jc w:val="both"/>
        <w:rPr>
          <w:rFonts w:cs="Arial"/>
          <w:b/>
          <w:bCs/>
          <w:color w:val="002060"/>
        </w:rPr>
      </w:pPr>
    </w:p>
    <w:p w:rsidR="00F70DA7" w:rsidRPr="00B3065A" w:rsidRDefault="00F70DA7" w:rsidP="00F70DA7">
      <w:pPr>
        <w:jc w:val="both"/>
        <w:rPr>
          <w:rFonts w:cs="Arial"/>
        </w:rPr>
      </w:pPr>
      <w:r w:rsidRPr="00B3065A">
        <w:rPr>
          <w:rFonts w:cs="Arial"/>
        </w:rPr>
        <w:t>Dated</w:t>
      </w:r>
      <w:r w:rsidRPr="00183A5E">
        <w:rPr>
          <w:rFonts w:cs="Arial"/>
        </w:rPr>
        <w:t xml:space="preserve">: </w:t>
      </w:r>
      <w:r w:rsidR="000F45B0">
        <w:rPr>
          <w:rFonts w:cs="Arial"/>
        </w:rPr>
        <w:t>27</w:t>
      </w:r>
      <w:r>
        <w:rPr>
          <w:rFonts w:cs="Arial"/>
        </w:rPr>
        <w:t xml:space="preserve"> Feb 2024</w:t>
      </w:r>
    </w:p>
    <w:sectPr w:rsidR="00F70DA7" w:rsidRPr="00B3065A" w:rsidSect="00AA159D">
      <w:headerReference w:type="even" r:id="rId56"/>
      <w:headerReference w:type="default" r:id="rId57"/>
      <w:footerReference w:type="even" r:id="rId58"/>
      <w:footerReference w:type="default" r:id="rId59"/>
      <w:headerReference w:type="first" r:id="rId60"/>
      <w:footerReference w:type="first" r:id="rId61"/>
      <w:pgSz w:w="11906" w:h="16838"/>
      <w:pgMar w:top="1440" w:right="1440"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C175DC" w:rsidRDefault="00C175DC" w:rsidP="008941EB">
      <w:r>
        <w:separator/>
      </w:r>
    </w:p>
  </w:endnote>
  <w:endnote w:type="continuationSeparator" w:id="0">
    <w:p w:rsidR="00C175DC" w:rsidRDefault="00C175DC" w:rsidP="008941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atha">
    <w:panose1 w:val="02000400000000000000"/>
    <w:charset w:val="00"/>
    <w:family w:val="swiss"/>
    <w:pitch w:val="variable"/>
    <w:sig w:usb0="00100003" w:usb1="00000000" w:usb2="00000000" w:usb3="00000000" w:csb0="00000001"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80090" w:rsidRDefault="00F8009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0779176"/>
      <w:docPartObj>
        <w:docPartGallery w:val="Page Numbers (Bottom of Page)"/>
        <w:docPartUnique/>
      </w:docPartObj>
    </w:sdtPr>
    <w:sdtEndPr>
      <w:rPr>
        <w:noProof/>
      </w:rPr>
    </w:sdtEndPr>
    <w:sdtContent>
      <w:p w:rsidR="002672C0" w:rsidRDefault="002672C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2672C0" w:rsidRDefault="002672C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80090" w:rsidRDefault="00F800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C175DC" w:rsidRDefault="00C175DC" w:rsidP="008941EB">
      <w:r>
        <w:separator/>
      </w:r>
    </w:p>
  </w:footnote>
  <w:footnote w:type="continuationSeparator" w:id="0">
    <w:p w:rsidR="00C175DC" w:rsidRDefault="00C175DC" w:rsidP="008941EB">
      <w:r>
        <w:continuationSeparator/>
      </w:r>
    </w:p>
  </w:footnote>
  <w:footnote w:id="1">
    <w:p w:rsidR="00F35BCE" w:rsidRDefault="00F35BCE" w:rsidP="00F35BCE">
      <w:pPr>
        <w:pStyle w:val="FootnoteText"/>
        <w:rPr>
          <w:lang w:val="en-US"/>
        </w:rPr>
      </w:pPr>
      <w:r>
        <w:rPr>
          <w:rStyle w:val="FootnoteReference"/>
        </w:rPr>
        <w:footnoteRef/>
      </w:r>
      <w:r>
        <w:t xml:space="preserve"> </w:t>
      </w:r>
      <w:r>
        <w:rPr>
          <w:lang w:val="en-US"/>
        </w:rPr>
        <w:t xml:space="preserve">Vaccine dose of the </w:t>
      </w:r>
      <w:r>
        <w:rPr>
          <w:rFonts w:cs="Arial"/>
        </w:rPr>
        <w:t xml:space="preserve">Pfizer-BioNTech/Comirnaty XBB.1.5 </w:t>
      </w:r>
      <w:r w:rsidR="00857003">
        <w:rPr>
          <w:rFonts w:cs="Arial"/>
        </w:rPr>
        <w:t>monovalent</w:t>
      </w:r>
      <w:r w:rsidR="00857003">
        <w:rPr>
          <w:lang w:val="en-US"/>
        </w:rPr>
        <w:t xml:space="preserve"> COVID</w:t>
      </w:r>
      <w:r>
        <w:rPr>
          <w:lang w:val="en-US"/>
        </w:rPr>
        <w:t xml:space="preserve">-19 vaccine to be used for primary series vaccination in individuals ages 5 to </w:t>
      </w:r>
      <w:r w:rsidR="00C861D2">
        <w:rPr>
          <w:lang w:val="en-US"/>
        </w:rPr>
        <w:t>11 years</w:t>
      </w:r>
      <w:r>
        <w:rPr>
          <w:lang w:val="en-US"/>
        </w:rPr>
        <w:t xml:space="preserve"> is 10 mcg (0.3 mL), the same as that used for the booster dose.</w:t>
      </w:r>
    </w:p>
  </w:footnote>
  <w:footnote w:id="2">
    <w:p w:rsidR="00F35BCE" w:rsidRDefault="00F35BCE" w:rsidP="00F35BCE">
      <w:pPr>
        <w:pStyle w:val="FootnoteText"/>
        <w:jc w:val="both"/>
        <w:rPr>
          <w:lang w:val="en-US"/>
        </w:rPr>
      </w:pPr>
      <w:r>
        <w:rPr>
          <w:rStyle w:val="FootnoteReference"/>
        </w:rPr>
        <w:footnoteRef/>
      </w:r>
      <w:r>
        <w:t xml:space="preserve"> </w:t>
      </w:r>
      <w:r>
        <w:rPr>
          <w:lang w:val="en-US"/>
        </w:rPr>
        <w:t>The reasons/medical conditions are codified in GPC as: fever, acute respiratory infections, general unwell, immunosuppression, platelet count abnormality, allergy to vaccine product, history of drug-induced anaphylaxis, others, cancer treatment.</w:t>
      </w:r>
    </w:p>
  </w:footnote>
  <w:footnote w:id="3">
    <w:p w:rsidR="00D961B6" w:rsidRPr="005C56D0" w:rsidRDefault="00D961B6" w:rsidP="00D961B6">
      <w:pPr>
        <w:pStyle w:val="FootnoteText"/>
        <w:rPr>
          <w:lang w:val="en-US"/>
        </w:rPr>
      </w:pPr>
      <w:r>
        <w:rPr>
          <w:rStyle w:val="FootnoteReference"/>
        </w:rPr>
        <w:footnoteRef/>
      </w:r>
      <w:r>
        <w:t xml:space="preserve"> </w:t>
      </w:r>
      <w:r>
        <w:rPr>
          <w:lang w:val="en-US"/>
        </w:rPr>
        <w:t>PHPC should contact your AIC account manager.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672C0" w:rsidRDefault="002672C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672C0" w:rsidRPr="006D014D" w:rsidRDefault="002672C0" w:rsidP="008941EB">
    <w:pPr>
      <w:pStyle w:val="Header"/>
      <w:jc w:val="center"/>
      <w:rPr>
        <w:b/>
        <w:bCs/>
        <w:color w:val="FF0000"/>
        <w:lang w:val="en-US"/>
      </w:rPr>
    </w:pPr>
    <w:r w:rsidRPr="006D014D">
      <w:rPr>
        <w:b/>
        <w:bCs/>
        <w:color w:val="FF0000"/>
        <w:lang w:val="en-US"/>
      </w:rPr>
      <w:t>RESTRICTED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672C0" w:rsidRDefault="002672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77731"/>
    <w:multiLevelType w:val="hybridMultilevel"/>
    <w:tmpl w:val="00482E1C"/>
    <w:lvl w:ilvl="0" w:tplc="4809001B">
      <w:start w:val="1"/>
      <w:numFmt w:val="lowerRoman"/>
      <w:lvlText w:val="%1."/>
      <w:lvlJc w:val="righ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 w15:restartNumberingAfterBreak="0">
    <w:nsid w:val="079A57FB"/>
    <w:multiLevelType w:val="multilevel"/>
    <w:tmpl w:val="EA7E641A"/>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7B969C5"/>
    <w:multiLevelType w:val="hybridMultilevel"/>
    <w:tmpl w:val="00482E1C"/>
    <w:lvl w:ilvl="0" w:tplc="FFFFFFFF">
      <w:start w:val="1"/>
      <w:numFmt w:val="lowerRoman"/>
      <w:lvlText w:val="%1."/>
      <w:lvlJc w:val="righ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 w15:restartNumberingAfterBreak="0">
    <w:nsid w:val="0A133190"/>
    <w:multiLevelType w:val="hybridMultilevel"/>
    <w:tmpl w:val="3FF85BA0"/>
    <w:lvl w:ilvl="0" w:tplc="6C9C3E86">
      <w:start w:val="1"/>
      <w:numFmt w:val="lowerLetter"/>
      <w:lvlText w:val="%1)"/>
      <w:lvlJc w:val="left"/>
      <w:pPr>
        <w:ind w:left="927" w:hanging="360"/>
      </w:pPr>
      <w:rPr>
        <w:rFonts w:hint="default"/>
        <w:b w:val="0"/>
        <w:bCs w:val="0"/>
        <w:i w:val="0"/>
        <w:iCs w:val="0"/>
      </w:rPr>
    </w:lvl>
    <w:lvl w:ilvl="1" w:tplc="48090019" w:tentative="1">
      <w:start w:val="1"/>
      <w:numFmt w:val="lowerLetter"/>
      <w:lvlText w:val="%2."/>
      <w:lvlJc w:val="left"/>
      <w:pPr>
        <w:ind w:left="1647" w:hanging="360"/>
      </w:pPr>
    </w:lvl>
    <w:lvl w:ilvl="2" w:tplc="4809001B" w:tentative="1">
      <w:start w:val="1"/>
      <w:numFmt w:val="lowerRoman"/>
      <w:lvlText w:val="%3."/>
      <w:lvlJc w:val="right"/>
      <w:pPr>
        <w:ind w:left="2367" w:hanging="180"/>
      </w:pPr>
    </w:lvl>
    <w:lvl w:ilvl="3" w:tplc="4809000F" w:tentative="1">
      <w:start w:val="1"/>
      <w:numFmt w:val="decimal"/>
      <w:lvlText w:val="%4."/>
      <w:lvlJc w:val="left"/>
      <w:pPr>
        <w:ind w:left="3087" w:hanging="360"/>
      </w:pPr>
    </w:lvl>
    <w:lvl w:ilvl="4" w:tplc="48090019" w:tentative="1">
      <w:start w:val="1"/>
      <w:numFmt w:val="lowerLetter"/>
      <w:lvlText w:val="%5."/>
      <w:lvlJc w:val="left"/>
      <w:pPr>
        <w:ind w:left="3807" w:hanging="360"/>
      </w:pPr>
    </w:lvl>
    <w:lvl w:ilvl="5" w:tplc="4809001B" w:tentative="1">
      <w:start w:val="1"/>
      <w:numFmt w:val="lowerRoman"/>
      <w:lvlText w:val="%6."/>
      <w:lvlJc w:val="right"/>
      <w:pPr>
        <w:ind w:left="4527" w:hanging="180"/>
      </w:pPr>
    </w:lvl>
    <w:lvl w:ilvl="6" w:tplc="4809000F" w:tentative="1">
      <w:start w:val="1"/>
      <w:numFmt w:val="decimal"/>
      <w:lvlText w:val="%7."/>
      <w:lvlJc w:val="left"/>
      <w:pPr>
        <w:ind w:left="5247" w:hanging="360"/>
      </w:pPr>
    </w:lvl>
    <w:lvl w:ilvl="7" w:tplc="48090019" w:tentative="1">
      <w:start w:val="1"/>
      <w:numFmt w:val="lowerLetter"/>
      <w:lvlText w:val="%8."/>
      <w:lvlJc w:val="left"/>
      <w:pPr>
        <w:ind w:left="5967" w:hanging="360"/>
      </w:pPr>
    </w:lvl>
    <w:lvl w:ilvl="8" w:tplc="4809001B" w:tentative="1">
      <w:start w:val="1"/>
      <w:numFmt w:val="lowerRoman"/>
      <w:lvlText w:val="%9."/>
      <w:lvlJc w:val="right"/>
      <w:pPr>
        <w:ind w:left="6687" w:hanging="180"/>
      </w:pPr>
    </w:lvl>
  </w:abstractNum>
  <w:abstractNum w:abstractNumId="4" w15:restartNumberingAfterBreak="0">
    <w:nsid w:val="0E713231"/>
    <w:multiLevelType w:val="hybridMultilevel"/>
    <w:tmpl w:val="7BB44B56"/>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5" w15:restartNumberingAfterBreak="0">
    <w:nsid w:val="10792B85"/>
    <w:multiLevelType w:val="hybridMultilevel"/>
    <w:tmpl w:val="A88A4D24"/>
    <w:lvl w:ilvl="0" w:tplc="48090001">
      <w:start w:val="1"/>
      <w:numFmt w:val="bullet"/>
      <w:lvlText w:val=""/>
      <w:lvlJc w:val="left"/>
      <w:pPr>
        <w:ind w:left="720" w:hanging="360"/>
      </w:pPr>
      <w:rPr>
        <w:rFonts w:ascii="Symbol" w:hAnsi="Symbol" w:hint="default"/>
      </w:rPr>
    </w:lvl>
    <w:lvl w:ilvl="1" w:tplc="48090003">
      <w:start w:val="1"/>
      <w:numFmt w:val="bullet"/>
      <w:lvlText w:val="o"/>
      <w:lvlJc w:val="left"/>
      <w:pPr>
        <w:ind w:left="1440" w:hanging="360"/>
      </w:pPr>
      <w:rPr>
        <w:rFonts w:ascii="Courier New" w:hAnsi="Courier New" w:cs="Courier New" w:hint="default"/>
      </w:rPr>
    </w:lvl>
    <w:lvl w:ilvl="2" w:tplc="48090005">
      <w:start w:val="1"/>
      <w:numFmt w:val="bullet"/>
      <w:lvlText w:val=""/>
      <w:lvlJc w:val="left"/>
      <w:pPr>
        <w:ind w:left="2160" w:hanging="360"/>
      </w:pPr>
      <w:rPr>
        <w:rFonts w:ascii="Wingdings" w:hAnsi="Wingdings" w:hint="default"/>
      </w:rPr>
    </w:lvl>
    <w:lvl w:ilvl="3" w:tplc="48090001">
      <w:start w:val="1"/>
      <w:numFmt w:val="bullet"/>
      <w:lvlText w:val=""/>
      <w:lvlJc w:val="left"/>
      <w:pPr>
        <w:ind w:left="2880" w:hanging="360"/>
      </w:pPr>
      <w:rPr>
        <w:rFonts w:ascii="Symbol" w:hAnsi="Symbol" w:hint="default"/>
      </w:rPr>
    </w:lvl>
    <w:lvl w:ilvl="4" w:tplc="48090003">
      <w:start w:val="1"/>
      <w:numFmt w:val="bullet"/>
      <w:lvlText w:val="o"/>
      <w:lvlJc w:val="left"/>
      <w:pPr>
        <w:ind w:left="3600" w:hanging="360"/>
      </w:pPr>
      <w:rPr>
        <w:rFonts w:ascii="Courier New" w:hAnsi="Courier New" w:cs="Courier New" w:hint="default"/>
      </w:rPr>
    </w:lvl>
    <w:lvl w:ilvl="5" w:tplc="48090005">
      <w:start w:val="1"/>
      <w:numFmt w:val="bullet"/>
      <w:lvlText w:val=""/>
      <w:lvlJc w:val="left"/>
      <w:pPr>
        <w:ind w:left="4320" w:hanging="360"/>
      </w:pPr>
      <w:rPr>
        <w:rFonts w:ascii="Wingdings" w:hAnsi="Wingdings" w:hint="default"/>
      </w:rPr>
    </w:lvl>
    <w:lvl w:ilvl="6" w:tplc="48090001">
      <w:start w:val="1"/>
      <w:numFmt w:val="bullet"/>
      <w:lvlText w:val=""/>
      <w:lvlJc w:val="left"/>
      <w:pPr>
        <w:ind w:left="5040" w:hanging="360"/>
      </w:pPr>
      <w:rPr>
        <w:rFonts w:ascii="Symbol" w:hAnsi="Symbol" w:hint="default"/>
      </w:rPr>
    </w:lvl>
    <w:lvl w:ilvl="7" w:tplc="48090003">
      <w:start w:val="1"/>
      <w:numFmt w:val="bullet"/>
      <w:lvlText w:val="o"/>
      <w:lvlJc w:val="left"/>
      <w:pPr>
        <w:ind w:left="5760" w:hanging="360"/>
      </w:pPr>
      <w:rPr>
        <w:rFonts w:ascii="Courier New" w:hAnsi="Courier New" w:cs="Courier New" w:hint="default"/>
      </w:rPr>
    </w:lvl>
    <w:lvl w:ilvl="8" w:tplc="48090005">
      <w:start w:val="1"/>
      <w:numFmt w:val="bullet"/>
      <w:lvlText w:val=""/>
      <w:lvlJc w:val="left"/>
      <w:pPr>
        <w:ind w:left="6480" w:hanging="360"/>
      </w:pPr>
      <w:rPr>
        <w:rFonts w:ascii="Wingdings" w:hAnsi="Wingdings" w:hint="default"/>
      </w:rPr>
    </w:lvl>
  </w:abstractNum>
  <w:abstractNum w:abstractNumId="6" w15:restartNumberingAfterBreak="0">
    <w:nsid w:val="15755A3C"/>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7" w15:restartNumberingAfterBreak="0">
    <w:nsid w:val="16655BAE"/>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8" w15:restartNumberingAfterBreak="0">
    <w:nsid w:val="1D2003FF"/>
    <w:multiLevelType w:val="hybridMultilevel"/>
    <w:tmpl w:val="B6C2AFCA"/>
    <w:lvl w:ilvl="0" w:tplc="959062A4">
      <w:start w:val="2"/>
      <w:numFmt w:val="decimal"/>
      <w:lvlText w:val="%1."/>
      <w:lvlJc w:val="left"/>
      <w:pPr>
        <w:ind w:left="360" w:hanging="360"/>
      </w:pPr>
      <w:rPr>
        <w:rFonts w:hint="default"/>
      </w:rPr>
    </w:lvl>
    <w:lvl w:ilvl="1" w:tplc="48090019">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9" w15:restartNumberingAfterBreak="0">
    <w:nsid w:val="1F066330"/>
    <w:multiLevelType w:val="hybridMultilevel"/>
    <w:tmpl w:val="339A2D08"/>
    <w:lvl w:ilvl="0" w:tplc="48090017">
      <w:start w:val="1"/>
      <w:numFmt w:val="lowerLetter"/>
      <w:lvlText w:val="%1)"/>
      <w:lvlJc w:val="left"/>
      <w:pPr>
        <w:ind w:left="927" w:hanging="360"/>
      </w:pPr>
      <w:rPr>
        <w:rFonts w:hint="default"/>
      </w:rPr>
    </w:lvl>
    <w:lvl w:ilvl="1" w:tplc="48090019" w:tentative="1">
      <w:start w:val="1"/>
      <w:numFmt w:val="lowerLetter"/>
      <w:lvlText w:val="%2."/>
      <w:lvlJc w:val="left"/>
      <w:pPr>
        <w:ind w:left="1647" w:hanging="360"/>
      </w:pPr>
    </w:lvl>
    <w:lvl w:ilvl="2" w:tplc="4809001B" w:tentative="1">
      <w:start w:val="1"/>
      <w:numFmt w:val="lowerRoman"/>
      <w:lvlText w:val="%3."/>
      <w:lvlJc w:val="right"/>
      <w:pPr>
        <w:ind w:left="2367" w:hanging="180"/>
      </w:pPr>
    </w:lvl>
    <w:lvl w:ilvl="3" w:tplc="4809000F" w:tentative="1">
      <w:start w:val="1"/>
      <w:numFmt w:val="decimal"/>
      <w:lvlText w:val="%4."/>
      <w:lvlJc w:val="left"/>
      <w:pPr>
        <w:ind w:left="3087" w:hanging="360"/>
      </w:pPr>
    </w:lvl>
    <w:lvl w:ilvl="4" w:tplc="48090019" w:tentative="1">
      <w:start w:val="1"/>
      <w:numFmt w:val="lowerLetter"/>
      <w:lvlText w:val="%5."/>
      <w:lvlJc w:val="left"/>
      <w:pPr>
        <w:ind w:left="3807" w:hanging="360"/>
      </w:pPr>
    </w:lvl>
    <w:lvl w:ilvl="5" w:tplc="4809001B" w:tentative="1">
      <w:start w:val="1"/>
      <w:numFmt w:val="lowerRoman"/>
      <w:lvlText w:val="%6."/>
      <w:lvlJc w:val="right"/>
      <w:pPr>
        <w:ind w:left="4527" w:hanging="180"/>
      </w:pPr>
    </w:lvl>
    <w:lvl w:ilvl="6" w:tplc="4809000F" w:tentative="1">
      <w:start w:val="1"/>
      <w:numFmt w:val="decimal"/>
      <w:lvlText w:val="%7."/>
      <w:lvlJc w:val="left"/>
      <w:pPr>
        <w:ind w:left="5247" w:hanging="360"/>
      </w:pPr>
    </w:lvl>
    <w:lvl w:ilvl="7" w:tplc="48090019" w:tentative="1">
      <w:start w:val="1"/>
      <w:numFmt w:val="lowerLetter"/>
      <w:lvlText w:val="%8."/>
      <w:lvlJc w:val="left"/>
      <w:pPr>
        <w:ind w:left="5967" w:hanging="360"/>
      </w:pPr>
    </w:lvl>
    <w:lvl w:ilvl="8" w:tplc="4809001B" w:tentative="1">
      <w:start w:val="1"/>
      <w:numFmt w:val="lowerRoman"/>
      <w:lvlText w:val="%9."/>
      <w:lvlJc w:val="right"/>
      <w:pPr>
        <w:ind w:left="6687" w:hanging="180"/>
      </w:pPr>
    </w:lvl>
  </w:abstractNum>
  <w:abstractNum w:abstractNumId="10" w15:restartNumberingAfterBreak="0">
    <w:nsid w:val="222A5523"/>
    <w:multiLevelType w:val="hybridMultilevel"/>
    <w:tmpl w:val="DBD4DB04"/>
    <w:lvl w:ilvl="0" w:tplc="48090001">
      <w:start w:val="1"/>
      <w:numFmt w:val="bullet"/>
      <w:lvlText w:val=""/>
      <w:lvlJc w:val="left"/>
      <w:pPr>
        <w:ind w:left="720" w:hanging="360"/>
      </w:pPr>
      <w:rPr>
        <w:rFonts w:ascii="Symbol" w:hAnsi="Symbol"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1" w15:restartNumberingAfterBreak="0">
    <w:nsid w:val="29402756"/>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2" w15:restartNumberingAfterBreak="0">
    <w:nsid w:val="356D5832"/>
    <w:multiLevelType w:val="hybridMultilevel"/>
    <w:tmpl w:val="83D4D912"/>
    <w:lvl w:ilvl="0" w:tplc="48090001">
      <w:start w:val="1"/>
      <w:numFmt w:val="bullet"/>
      <w:lvlText w:val=""/>
      <w:lvlJc w:val="left"/>
      <w:pPr>
        <w:ind w:left="720" w:hanging="360"/>
      </w:pPr>
      <w:rPr>
        <w:rFonts w:ascii="Symbol" w:hAnsi="Symbol"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3" w15:restartNumberingAfterBreak="0">
    <w:nsid w:val="3A615866"/>
    <w:multiLevelType w:val="multilevel"/>
    <w:tmpl w:val="F048B420"/>
    <w:lvl w:ilvl="0">
      <w:start w:val="7"/>
      <w:numFmt w:val="decimal"/>
      <w:lvlText w:val="%1."/>
      <w:lvlJc w:val="left"/>
      <w:pPr>
        <w:ind w:left="360" w:hanging="360"/>
      </w:pPr>
      <w:rPr>
        <w:rFonts w:hint="default"/>
      </w:rPr>
    </w:lvl>
    <w:lvl w:ilvl="1">
      <w:start w:val="4"/>
      <w:numFmt w:val="decimal"/>
      <w:lvlText w:val="%1.%2"/>
      <w:lvlJc w:val="left"/>
      <w:pPr>
        <w:ind w:left="567" w:hanging="567"/>
      </w:pPr>
      <w:rPr>
        <w:rFonts w:ascii="Arial" w:hAnsi="Arial" w:cs="Arial" w:hint="default"/>
        <w:b w:val="0"/>
        <w:bCs w:val="0"/>
        <w:strike w:val="0"/>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21A271E"/>
    <w:multiLevelType w:val="multilevel"/>
    <w:tmpl w:val="6AF46F1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45A068A"/>
    <w:multiLevelType w:val="multilevel"/>
    <w:tmpl w:val="B386C3A0"/>
    <w:lvl w:ilvl="0">
      <w:start w:val="7"/>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52E2BB5"/>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7" w15:restartNumberingAfterBreak="0">
    <w:nsid w:val="4BB34767"/>
    <w:multiLevelType w:val="multilevel"/>
    <w:tmpl w:val="21A4E062"/>
    <w:lvl w:ilvl="0">
      <w:start w:val="6"/>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EFE3067"/>
    <w:multiLevelType w:val="multilevel"/>
    <w:tmpl w:val="E90C3532"/>
    <w:lvl w:ilvl="0">
      <w:start w:val="1"/>
      <w:numFmt w:val="decimal"/>
      <w:lvlText w:val="%1."/>
      <w:lvlJc w:val="left"/>
      <w:pPr>
        <w:ind w:left="360" w:hanging="360"/>
      </w:pPr>
      <w:rPr>
        <w:rFonts w:hint="default"/>
      </w:rPr>
    </w:lvl>
    <w:lvl w:ilvl="1">
      <w:start w:val="1"/>
      <w:numFmt w:val="decimal"/>
      <w:lvlText w:val="%1.%2"/>
      <w:lvlJc w:val="left"/>
      <w:pPr>
        <w:ind w:left="567" w:hanging="567"/>
      </w:pPr>
      <w:rPr>
        <w:rFonts w:ascii="Arial" w:hAnsi="Arial" w:cs="Arial" w:hint="default"/>
        <w:b w:val="0"/>
        <w:bCs w:val="0"/>
        <w:strike w:val="0"/>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5029725E"/>
    <w:multiLevelType w:val="multilevel"/>
    <w:tmpl w:val="9C38885C"/>
    <w:lvl w:ilvl="0">
      <w:start w:val="6"/>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F2D034F"/>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1" w15:restartNumberingAfterBreak="0">
    <w:nsid w:val="631613F2"/>
    <w:multiLevelType w:val="hybridMultilevel"/>
    <w:tmpl w:val="C36C9AB4"/>
    <w:lvl w:ilvl="0" w:tplc="48090017">
      <w:start w:val="1"/>
      <w:numFmt w:val="lowerLetter"/>
      <w:lvlText w:val="%1)"/>
      <w:lvlJc w:val="left"/>
      <w:pPr>
        <w:ind w:left="1287" w:hanging="360"/>
      </w:pPr>
    </w:lvl>
    <w:lvl w:ilvl="1" w:tplc="48090019" w:tentative="1">
      <w:start w:val="1"/>
      <w:numFmt w:val="lowerLetter"/>
      <w:lvlText w:val="%2."/>
      <w:lvlJc w:val="left"/>
      <w:pPr>
        <w:ind w:left="2007" w:hanging="360"/>
      </w:pPr>
    </w:lvl>
    <w:lvl w:ilvl="2" w:tplc="4809001B" w:tentative="1">
      <w:start w:val="1"/>
      <w:numFmt w:val="lowerRoman"/>
      <w:lvlText w:val="%3."/>
      <w:lvlJc w:val="right"/>
      <w:pPr>
        <w:ind w:left="2727" w:hanging="180"/>
      </w:pPr>
    </w:lvl>
    <w:lvl w:ilvl="3" w:tplc="4809000F" w:tentative="1">
      <w:start w:val="1"/>
      <w:numFmt w:val="decimal"/>
      <w:lvlText w:val="%4."/>
      <w:lvlJc w:val="left"/>
      <w:pPr>
        <w:ind w:left="3447" w:hanging="360"/>
      </w:pPr>
    </w:lvl>
    <w:lvl w:ilvl="4" w:tplc="48090019" w:tentative="1">
      <w:start w:val="1"/>
      <w:numFmt w:val="lowerLetter"/>
      <w:lvlText w:val="%5."/>
      <w:lvlJc w:val="left"/>
      <w:pPr>
        <w:ind w:left="4167" w:hanging="360"/>
      </w:pPr>
    </w:lvl>
    <w:lvl w:ilvl="5" w:tplc="4809001B" w:tentative="1">
      <w:start w:val="1"/>
      <w:numFmt w:val="lowerRoman"/>
      <w:lvlText w:val="%6."/>
      <w:lvlJc w:val="right"/>
      <w:pPr>
        <w:ind w:left="4887" w:hanging="180"/>
      </w:pPr>
    </w:lvl>
    <w:lvl w:ilvl="6" w:tplc="4809000F" w:tentative="1">
      <w:start w:val="1"/>
      <w:numFmt w:val="decimal"/>
      <w:lvlText w:val="%7."/>
      <w:lvlJc w:val="left"/>
      <w:pPr>
        <w:ind w:left="5607" w:hanging="360"/>
      </w:pPr>
    </w:lvl>
    <w:lvl w:ilvl="7" w:tplc="48090019" w:tentative="1">
      <w:start w:val="1"/>
      <w:numFmt w:val="lowerLetter"/>
      <w:lvlText w:val="%8."/>
      <w:lvlJc w:val="left"/>
      <w:pPr>
        <w:ind w:left="6327" w:hanging="360"/>
      </w:pPr>
    </w:lvl>
    <w:lvl w:ilvl="8" w:tplc="4809001B" w:tentative="1">
      <w:start w:val="1"/>
      <w:numFmt w:val="lowerRoman"/>
      <w:lvlText w:val="%9."/>
      <w:lvlJc w:val="right"/>
      <w:pPr>
        <w:ind w:left="7047" w:hanging="180"/>
      </w:pPr>
    </w:lvl>
  </w:abstractNum>
  <w:abstractNum w:abstractNumId="22" w15:restartNumberingAfterBreak="0">
    <w:nsid w:val="67963E10"/>
    <w:multiLevelType w:val="hybridMultilevel"/>
    <w:tmpl w:val="3DC64AD6"/>
    <w:lvl w:ilvl="0" w:tplc="4809001B">
      <w:start w:val="1"/>
      <w:numFmt w:val="lowerRoman"/>
      <w:lvlText w:val="%1."/>
      <w:lvlJc w:val="right"/>
      <w:pPr>
        <w:ind w:left="1647" w:hanging="360"/>
      </w:pPr>
    </w:lvl>
    <w:lvl w:ilvl="1" w:tplc="48090019" w:tentative="1">
      <w:start w:val="1"/>
      <w:numFmt w:val="lowerLetter"/>
      <w:lvlText w:val="%2."/>
      <w:lvlJc w:val="left"/>
      <w:pPr>
        <w:ind w:left="2367" w:hanging="360"/>
      </w:pPr>
    </w:lvl>
    <w:lvl w:ilvl="2" w:tplc="4809001B" w:tentative="1">
      <w:start w:val="1"/>
      <w:numFmt w:val="lowerRoman"/>
      <w:lvlText w:val="%3."/>
      <w:lvlJc w:val="right"/>
      <w:pPr>
        <w:ind w:left="3087" w:hanging="180"/>
      </w:pPr>
    </w:lvl>
    <w:lvl w:ilvl="3" w:tplc="4809000F" w:tentative="1">
      <w:start w:val="1"/>
      <w:numFmt w:val="decimal"/>
      <w:lvlText w:val="%4."/>
      <w:lvlJc w:val="left"/>
      <w:pPr>
        <w:ind w:left="3807" w:hanging="360"/>
      </w:pPr>
    </w:lvl>
    <w:lvl w:ilvl="4" w:tplc="48090019" w:tentative="1">
      <w:start w:val="1"/>
      <w:numFmt w:val="lowerLetter"/>
      <w:lvlText w:val="%5."/>
      <w:lvlJc w:val="left"/>
      <w:pPr>
        <w:ind w:left="4527" w:hanging="360"/>
      </w:pPr>
    </w:lvl>
    <w:lvl w:ilvl="5" w:tplc="4809001B" w:tentative="1">
      <w:start w:val="1"/>
      <w:numFmt w:val="lowerRoman"/>
      <w:lvlText w:val="%6."/>
      <w:lvlJc w:val="right"/>
      <w:pPr>
        <w:ind w:left="5247" w:hanging="180"/>
      </w:pPr>
    </w:lvl>
    <w:lvl w:ilvl="6" w:tplc="4809000F" w:tentative="1">
      <w:start w:val="1"/>
      <w:numFmt w:val="decimal"/>
      <w:lvlText w:val="%7."/>
      <w:lvlJc w:val="left"/>
      <w:pPr>
        <w:ind w:left="5967" w:hanging="360"/>
      </w:pPr>
    </w:lvl>
    <w:lvl w:ilvl="7" w:tplc="48090019" w:tentative="1">
      <w:start w:val="1"/>
      <w:numFmt w:val="lowerLetter"/>
      <w:lvlText w:val="%8."/>
      <w:lvlJc w:val="left"/>
      <w:pPr>
        <w:ind w:left="6687" w:hanging="360"/>
      </w:pPr>
    </w:lvl>
    <w:lvl w:ilvl="8" w:tplc="4809001B" w:tentative="1">
      <w:start w:val="1"/>
      <w:numFmt w:val="lowerRoman"/>
      <w:lvlText w:val="%9."/>
      <w:lvlJc w:val="right"/>
      <w:pPr>
        <w:ind w:left="7407" w:hanging="180"/>
      </w:pPr>
    </w:lvl>
  </w:abstractNum>
  <w:abstractNum w:abstractNumId="23" w15:restartNumberingAfterBreak="0">
    <w:nsid w:val="6B555A44"/>
    <w:multiLevelType w:val="hybridMultilevel"/>
    <w:tmpl w:val="7D64DBB0"/>
    <w:lvl w:ilvl="0" w:tplc="48090001">
      <w:start w:val="1"/>
      <w:numFmt w:val="bullet"/>
      <w:lvlText w:val=""/>
      <w:lvlJc w:val="left"/>
      <w:pPr>
        <w:ind w:left="720" w:hanging="360"/>
      </w:pPr>
      <w:rPr>
        <w:rFonts w:ascii="Symbol" w:hAnsi="Symbol"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4" w15:restartNumberingAfterBreak="0">
    <w:nsid w:val="719B0476"/>
    <w:multiLevelType w:val="hybridMultilevel"/>
    <w:tmpl w:val="A984D7BE"/>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5" w15:restartNumberingAfterBreak="0">
    <w:nsid w:val="788C6ECF"/>
    <w:multiLevelType w:val="hybridMultilevel"/>
    <w:tmpl w:val="C36C9AB4"/>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6" w15:restartNumberingAfterBreak="0">
    <w:nsid w:val="7D0F7388"/>
    <w:multiLevelType w:val="hybridMultilevel"/>
    <w:tmpl w:val="F912C3D2"/>
    <w:lvl w:ilvl="0" w:tplc="48090001">
      <w:start w:val="1"/>
      <w:numFmt w:val="bullet"/>
      <w:lvlText w:val=""/>
      <w:lvlJc w:val="left"/>
      <w:pPr>
        <w:ind w:left="720" w:hanging="360"/>
      </w:pPr>
      <w:rPr>
        <w:rFonts w:ascii="Symbol" w:hAnsi="Symbol"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num w:numId="1" w16cid:durableId="1166507124">
    <w:abstractNumId w:val="18"/>
  </w:num>
  <w:num w:numId="2" w16cid:durableId="1047532904">
    <w:abstractNumId w:val="14"/>
  </w:num>
  <w:num w:numId="3" w16cid:durableId="1975793086">
    <w:abstractNumId w:val="0"/>
  </w:num>
  <w:num w:numId="4" w16cid:durableId="876234591">
    <w:abstractNumId w:val="8"/>
  </w:num>
  <w:num w:numId="5" w16cid:durableId="1924678954">
    <w:abstractNumId w:val="2"/>
  </w:num>
  <w:num w:numId="6" w16cid:durableId="105465219">
    <w:abstractNumId w:val="21"/>
  </w:num>
  <w:num w:numId="7" w16cid:durableId="1960913287">
    <w:abstractNumId w:val="6"/>
  </w:num>
  <w:num w:numId="8" w16cid:durableId="993800663">
    <w:abstractNumId w:val="11"/>
  </w:num>
  <w:num w:numId="9" w16cid:durableId="1395664322">
    <w:abstractNumId w:val="25"/>
  </w:num>
  <w:num w:numId="10" w16cid:durableId="1567717035">
    <w:abstractNumId w:val="7"/>
  </w:num>
  <w:num w:numId="11" w16cid:durableId="205263917">
    <w:abstractNumId w:val="20"/>
  </w:num>
  <w:num w:numId="12" w16cid:durableId="221452933">
    <w:abstractNumId w:val="16"/>
  </w:num>
  <w:num w:numId="13" w16cid:durableId="1299411313">
    <w:abstractNumId w:val="24"/>
  </w:num>
  <w:num w:numId="14" w16cid:durableId="1278682691">
    <w:abstractNumId w:val="4"/>
  </w:num>
  <w:num w:numId="15" w16cid:durableId="10957332">
    <w:abstractNumId w:val="9"/>
  </w:num>
  <w:num w:numId="16" w16cid:durableId="1834908663">
    <w:abstractNumId w:val="22"/>
  </w:num>
  <w:num w:numId="17" w16cid:durableId="160705715">
    <w:abstractNumId w:val="17"/>
  </w:num>
  <w:num w:numId="18" w16cid:durableId="280116272">
    <w:abstractNumId w:val="26"/>
  </w:num>
  <w:num w:numId="19" w16cid:durableId="832258949">
    <w:abstractNumId w:val="10"/>
  </w:num>
  <w:num w:numId="20" w16cid:durableId="2000304970">
    <w:abstractNumId w:val="23"/>
  </w:num>
  <w:num w:numId="21" w16cid:durableId="1270746461">
    <w:abstractNumId w:val="12"/>
  </w:num>
  <w:num w:numId="22" w16cid:durableId="1675108934">
    <w:abstractNumId w:val="19"/>
  </w:num>
  <w:num w:numId="23" w16cid:durableId="888687406">
    <w:abstractNumId w:val="1"/>
  </w:num>
  <w:num w:numId="24" w16cid:durableId="276841537">
    <w:abstractNumId w:val="3"/>
  </w:num>
  <w:num w:numId="25" w16cid:durableId="901260322">
    <w:abstractNumId w:val="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954095660">
    <w:abstractNumId w:val="18"/>
  </w:num>
  <w:num w:numId="27" w16cid:durableId="2064059516">
    <w:abstractNumId w:val="24"/>
  </w:num>
  <w:num w:numId="28" w16cid:durableId="2054306088">
    <w:abstractNumId w:val="4"/>
  </w:num>
  <w:num w:numId="29" w16cid:durableId="600841383">
    <w:abstractNumId w:val="5"/>
  </w:num>
  <w:num w:numId="30" w16cid:durableId="1753696305">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381246085">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935989181">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836654986">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225214450">
    <w:abstractNumId w:val="19"/>
    <w:lvlOverride w:ilvl="0">
      <w:startOverride w:val="6"/>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839223755">
    <w:abstractNumId w:val="17"/>
    <w:lvlOverride w:ilvl="0">
      <w:startOverride w:val="6"/>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916522653">
    <w:abstractNumId w:val="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7665783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212535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80539050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7917793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89797990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04128097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752696076">
    <w:abstractNumId w:val="13"/>
  </w:num>
  <w:num w:numId="44" w16cid:durableId="652757001">
    <w:abstractNumId w:val="1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41EB"/>
    <w:rsid w:val="00004012"/>
    <w:rsid w:val="00006244"/>
    <w:rsid w:val="00006FA5"/>
    <w:rsid w:val="00010D91"/>
    <w:rsid w:val="00010E97"/>
    <w:rsid w:val="00010F04"/>
    <w:rsid w:val="000110A5"/>
    <w:rsid w:val="00012C84"/>
    <w:rsid w:val="000163EE"/>
    <w:rsid w:val="00017382"/>
    <w:rsid w:val="0002007B"/>
    <w:rsid w:val="00020271"/>
    <w:rsid w:val="0002073F"/>
    <w:rsid w:val="00020785"/>
    <w:rsid w:val="000231F4"/>
    <w:rsid w:val="000257AA"/>
    <w:rsid w:val="000266F8"/>
    <w:rsid w:val="00026DB9"/>
    <w:rsid w:val="00027424"/>
    <w:rsid w:val="00030531"/>
    <w:rsid w:val="000342DF"/>
    <w:rsid w:val="00035FAF"/>
    <w:rsid w:val="00040ADF"/>
    <w:rsid w:val="00040AE7"/>
    <w:rsid w:val="00041389"/>
    <w:rsid w:val="00041C0E"/>
    <w:rsid w:val="000422B7"/>
    <w:rsid w:val="0004462D"/>
    <w:rsid w:val="00044861"/>
    <w:rsid w:val="0004738E"/>
    <w:rsid w:val="00047FC3"/>
    <w:rsid w:val="000502EA"/>
    <w:rsid w:val="00050742"/>
    <w:rsid w:val="00051C56"/>
    <w:rsid w:val="00052E4F"/>
    <w:rsid w:val="000533AB"/>
    <w:rsid w:val="00055B21"/>
    <w:rsid w:val="00056BD0"/>
    <w:rsid w:val="000659CC"/>
    <w:rsid w:val="00065ADD"/>
    <w:rsid w:val="00067003"/>
    <w:rsid w:val="00073165"/>
    <w:rsid w:val="00074ABF"/>
    <w:rsid w:val="00075173"/>
    <w:rsid w:val="0007668F"/>
    <w:rsid w:val="00083F14"/>
    <w:rsid w:val="00084B0E"/>
    <w:rsid w:val="000871DD"/>
    <w:rsid w:val="000913E5"/>
    <w:rsid w:val="000946B4"/>
    <w:rsid w:val="00094856"/>
    <w:rsid w:val="0009640B"/>
    <w:rsid w:val="00096EC6"/>
    <w:rsid w:val="00097DC2"/>
    <w:rsid w:val="000A04A1"/>
    <w:rsid w:val="000A337D"/>
    <w:rsid w:val="000A68B3"/>
    <w:rsid w:val="000A79B3"/>
    <w:rsid w:val="000B5580"/>
    <w:rsid w:val="000C1785"/>
    <w:rsid w:val="000C7C96"/>
    <w:rsid w:val="000D26F2"/>
    <w:rsid w:val="000D54C1"/>
    <w:rsid w:val="000E0385"/>
    <w:rsid w:val="000E070F"/>
    <w:rsid w:val="000E2BF0"/>
    <w:rsid w:val="000E2E69"/>
    <w:rsid w:val="000E458A"/>
    <w:rsid w:val="000E5666"/>
    <w:rsid w:val="000E5A14"/>
    <w:rsid w:val="000E64AD"/>
    <w:rsid w:val="000E663A"/>
    <w:rsid w:val="000F1D25"/>
    <w:rsid w:val="000F2C80"/>
    <w:rsid w:val="000F45B0"/>
    <w:rsid w:val="000F4E9E"/>
    <w:rsid w:val="000F714A"/>
    <w:rsid w:val="000F732C"/>
    <w:rsid w:val="000F7A8A"/>
    <w:rsid w:val="0010214A"/>
    <w:rsid w:val="00102FDF"/>
    <w:rsid w:val="001030EF"/>
    <w:rsid w:val="00105E21"/>
    <w:rsid w:val="00106168"/>
    <w:rsid w:val="00106D0D"/>
    <w:rsid w:val="0011059A"/>
    <w:rsid w:val="00112FC5"/>
    <w:rsid w:val="00114F24"/>
    <w:rsid w:val="00115FA5"/>
    <w:rsid w:val="001228DF"/>
    <w:rsid w:val="001240C4"/>
    <w:rsid w:val="00130A9A"/>
    <w:rsid w:val="00130F2E"/>
    <w:rsid w:val="00132FFD"/>
    <w:rsid w:val="00136B2D"/>
    <w:rsid w:val="00141D1B"/>
    <w:rsid w:val="00143F24"/>
    <w:rsid w:val="00143F2C"/>
    <w:rsid w:val="0014587F"/>
    <w:rsid w:val="00145FB3"/>
    <w:rsid w:val="00155F01"/>
    <w:rsid w:val="00156490"/>
    <w:rsid w:val="00160E2F"/>
    <w:rsid w:val="00161786"/>
    <w:rsid w:val="00163BCC"/>
    <w:rsid w:val="0016483F"/>
    <w:rsid w:val="00165278"/>
    <w:rsid w:val="00165844"/>
    <w:rsid w:val="00165863"/>
    <w:rsid w:val="00167C7C"/>
    <w:rsid w:val="0017122B"/>
    <w:rsid w:val="001732CD"/>
    <w:rsid w:val="00174661"/>
    <w:rsid w:val="00175866"/>
    <w:rsid w:val="00175EE1"/>
    <w:rsid w:val="00180E84"/>
    <w:rsid w:val="00181183"/>
    <w:rsid w:val="00184714"/>
    <w:rsid w:val="00184A82"/>
    <w:rsid w:val="001861FB"/>
    <w:rsid w:val="00186C08"/>
    <w:rsid w:val="001874E3"/>
    <w:rsid w:val="00187855"/>
    <w:rsid w:val="00191715"/>
    <w:rsid w:val="00194D9D"/>
    <w:rsid w:val="001A0A39"/>
    <w:rsid w:val="001A20EA"/>
    <w:rsid w:val="001A478D"/>
    <w:rsid w:val="001A6391"/>
    <w:rsid w:val="001A774D"/>
    <w:rsid w:val="001A7D29"/>
    <w:rsid w:val="001B1E1F"/>
    <w:rsid w:val="001B2043"/>
    <w:rsid w:val="001C0853"/>
    <w:rsid w:val="001C0C53"/>
    <w:rsid w:val="001C15F4"/>
    <w:rsid w:val="001C17CE"/>
    <w:rsid w:val="001C3857"/>
    <w:rsid w:val="001C410F"/>
    <w:rsid w:val="001C4DA0"/>
    <w:rsid w:val="001C5A39"/>
    <w:rsid w:val="001C6088"/>
    <w:rsid w:val="001C657A"/>
    <w:rsid w:val="001C6D3D"/>
    <w:rsid w:val="001D2AC0"/>
    <w:rsid w:val="001D2C66"/>
    <w:rsid w:val="001D309B"/>
    <w:rsid w:val="001D4EDD"/>
    <w:rsid w:val="001E1223"/>
    <w:rsid w:val="001E12B3"/>
    <w:rsid w:val="001E439D"/>
    <w:rsid w:val="001E521B"/>
    <w:rsid w:val="001E5C32"/>
    <w:rsid w:val="001F0B64"/>
    <w:rsid w:val="001F0F64"/>
    <w:rsid w:val="001F2737"/>
    <w:rsid w:val="001F282D"/>
    <w:rsid w:val="001F4D54"/>
    <w:rsid w:val="001F5A79"/>
    <w:rsid w:val="00202B51"/>
    <w:rsid w:val="00206145"/>
    <w:rsid w:val="00207071"/>
    <w:rsid w:val="00211A39"/>
    <w:rsid w:val="00212393"/>
    <w:rsid w:val="00212DDD"/>
    <w:rsid w:val="0021337D"/>
    <w:rsid w:val="002158A5"/>
    <w:rsid w:val="00215A10"/>
    <w:rsid w:val="0021631D"/>
    <w:rsid w:val="00216E27"/>
    <w:rsid w:val="00216F12"/>
    <w:rsid w:val="00217EFF"/>
    <w:rsid w:val="002216F3"/>
    <w:rsid w:val="00223B6B"/>
    <w:rsid w:val="002240B2"/>
    <w:rsid w:val="0022489D"/>
    <w:rsid w:val="0022523C"/>
    <w:rsid w:val="002253D8"/>
    <w:rsid w:val="00225FF8"/>
    <w:rsid w:val="00231F47"/>
    <w:rsid w:val="00235CA9"/>
    <w:rsid w:val="0024060A"/>
    <w:rsid w:val="00241131"/>
    <w:rsid w:val="002411FE"/>
    <w:rsid w:val="0024154E"/>
    <w:rsid w:val="00241CBE"/>
    <w:rsid w:val="002453E6"/>
    <w:rsid w:val="00246385"/>
    <w:rsid w:val="002469B1"/>
    <w:rsid w:val="00250511"/>
    <w:rsid w:val="00250752"/>
    <w:rsid w:val="00250809"/>
    <w:rsid w:val="00251475"/>
    <w:rsid w:val="00251660"/>
    <w:rsid w:val="002544F9"/>
    <w:rsid w:val="00255CD4"/>
    <w:rsid w:val="00256CEB"/>
    <w:rsid w:val="00256F94"/>
    <w:rsid w:val="0026151B"/>
    <w:rsid w:val="0026407E"/>
    <w:rsid w:val="002672C0"/>
    <w:rsid w:val="00271756"/>
    <w:rsid w:val="0027576C"/>
    <w:rsid w:val="00275AB5"/>
    <w:rsid w:val="002773DD"/>
    <w:rsid w:val="00281E71"/>
    <w:rsid w:val="002852E1"/>
    <w:rsid w:val="00286F2B"/>
    <w:rsid w:val="0029019D"/>
    <w:rsid w:val="00294430"/>
    <w:rsid w:val="002968AD"/>
    <w:rsid w:val="002A291F"/>
    <w:rsid w:val="002A3E58"/>
    <w:rsid w:val="002A6169"/>
    <w:rsid w:val="002A6CB6"/>
    <w:rsid w:val="002A7931"/>
    <w:rsid w:val="002B087B"/>
    <w:rsid w:val="002B0D24"/>
    <w:rsid w:val="002B1AC8"/>
    <w:rsid w:val="002B1F92"/>
    <w:rsid w:val="002B2BB6"/>
    <w:rsid w:val="002B4E45"/>
    <w:rsid w:val="002B6C4C"/>
    <w:rsid w:val="002B6E73"/>
    <w:rsid w:val="002B741A"/>
    <w:rsid w:val="002B7A8A"/>
    <w:rsid w:val="002C3E83"/>
    <w:rsid w:val="002C4A70"/>
    <w:rsid w:val="002D09AE"/>
    <w:rsid w:val="002D167A"/>
    <w:rsid w:val="002D25D3"/>
    <w:rsid w:val="002D3697"/>
    <w:rsid w:val="002D6ADA"/>
    <w:rsid w:val="002D7C59"/>
    <w:rsid w:val="002E0F27"/>
    <w:rsid w:val="002E2F1A"/>
    <w:rsid w:val="002E4D3A"/>
    <w:rsid w:val="002E663B"/>
    <w:rsid w:val="002E7BF7"/>
    <w:rsid w:val="002F186D"/>
    <w:rsid w:val="002F1C6C"/>
    <w:rsid w:val="002F2E5A"/>
    <w:rsid w:val="002F3AA3"/>
    <w:rsid w:val="002F4863"/>
    <w:rsid w:val="002F6232"/>
    <w:rsid w:val="002F742E"/>
    <w:rsid w:val="002F7C8F"/>
    <w:rsid w:val="00300430"/>
    <w:rsid w:val="00301125"/>
    <w:rsid w:val="003041C1"/>
    <w:rsid w:val="00304D09"/>
    <w:rsid w:val="00310937"/>
    <w:rsid w:val="003131BF"/>
    <w:rsid w:val="003138B1"/>
    <w:rsid w:val="0031450E"/>
    <w:rsid w:val="00317561"/>
    <w:rsid w:val="00317CFF"/>
    <w:rsid w:val="00317D58"/>
    <w:rsid w:val="00321544"/>
    <w:rsid w:val="00322B93"/>
    <w:rsid w:val="00322CAC"/>
    <w:rsid w:val="003249C0"/>
    <w:rsid w:val="00324FAD"/>
    <w:rsid w:val="003259D0"/>
    <w:rsid w:val="00325B59"/>
    <w:rsid w:val="0032704F"/>
    <w:rsid w:val="0033167D"/>
    <w:rsid w:val="00332574"/>
    <w:rsid w:val="00333FFD"/>
    <w:rsid w:val="00336FFC"/>
    <w:rsid w:val="0034255E"/>
    <w:rsid w:val="003438B9"/>
    <w:rsid w:val="0035176C"/>
    <w:rsid w:val="00351994"/>
    <w:rsid w:val="00352139"/>
    <w:rsid w:val="0035498D"/>
    <w:rsid w:val="00357804"/>
    <w:rsid w:val="00357860"/>
    <w:rsid w:val="00361FC4"/>
    <w:rsid w:val="00362435"/>
    <w:rsid w:val="00362597"/>
    <w:rsid w:val="0036269B"/>
    <w:rsid w:val="00362EC7"/>
    <w:rsid w:val="00364FF6"/>
    <w:rsid w:val="0036536B"/>
    <w:rsid w:val="00367BFB"/>
    <w:rsid w:val="00372E7B"/>
    <w:rsid w:val="00375055"/>
    <w:rsid w:val="00376B7F"/>
    <w:rsid w:val="0038028B"/>
    <w:rsid w:val="0038165B"/>
    <w:rsid w:val="00381DCB"/>
    <w:rsid w:val="003828C0"/>
    <w:rsid w:val="003838B4"/>
    <w:rsid w:val="00386898"/>
    <w:rsid w:val="003915B0"/>
    <w:rsid w:val="00391B14"/>
    <w:rsid w:val="00392AC8"/>
    <w:rsid w:val="0039510D"/>
    <w:rsid w:val="00396C76"/>
    <w:rsid w:val="003B0E43"/>
    <w:rsid w:val="003B1796"/>
    <w:rsid w:val="003B26AB"/>
    <w:rsid w:val="003B32D3"/>
    <w:rsid w:val="003B4CBF"/>
    <w:rsid w:val="003B607B"/>
    <w:rsid w:val="003B6453"/>
    <w:rsid w:val="003C30D0"/>
    <w:rsid w:val="003C5450"/>
    <w:rsid w:val="003C723D"/>
    <w:rsid w:val="003C7884"/>
    <w:rsid w:val="003C7A6B"/>
    <w:rsid w:val="003C7C73"/>
    <w:rsid w:val="003D0083"/>
    <w:rsid w:val="003D395D"/>
    <w:rsid w:val="003D3F10"/>
    <w:rsid w:val="003D3F7F"/>
    <w:rsid w:val="003D42DF"/>
    <w:rsid w:val="003D6D2E"/>
    <w:rsid w:val="003D7559"/>
    <w:rsid w:val="003D7A5B"/>
    <w:rsid w:val="003E0843"/>
    <w:rsid w:val="003E2641"/>
    <w:rsid w:val="003E5E03"/>
    <w:rsid w:val="003E7119"/>
    <w:rsid w:val="003F3673"/>
    <w:rsid w:val="004000C5"/>
    <w:rsid w:val="0040038A"/>
    <w:rsid w:val="00400881"/>
    <w:rsid w:val="00400F46"/>
    <w:rsid w:val="0040284B"/>
    <w:rsid w:val="00411617"/>
    <w:rsid w:val="004171E7"/>
    <w:rsid w:val="00417EBE"/>
    <w:rsid w:val="004213F6"/>
    <w:rsid w:val="00422120"/>
    <w:rsid w:val="00425859"/>
    <w:rsid w:val="00426408"/>
    <w:rsid w:val="004277F5"/>
    <w:rsid w:val="00427B73"/>
    <w:rsid w:val="00430701"/>
    <w:rsid w:val="00431A08"/>
    <w:rsid w:val="00432201"/>
    <w:rsid w:val="00432E8B"/>
    <w:rsid w:val="004352E5"/>
    <w:rsid w:val="00435706"/>
    <w:rsid w:val="004362C1"/>
    <w:rsid w:val="004370D8"/>
    <w:rsid w:val="00437BC9"/>
    <w:rsid w:val="00437CED"/>
    <w:rsid w:val="00440420"/>
    <w:rsid w:val="00441A7E"/>
    <w:rsid w:val="0044252B"/>
    <w:rsid w:val="004427F3"/>
    <w:rsid w:val="00442A1D"/>
    <w:rsid w:val="00442DC4"/>
    <w:rsid w:val="00443153"/>
    <w:rsid w:val="00443830"/>
    <w:rsid w:val="00445B99"/>
    <w:rsid w:val="00445EF2"/>
    <w:rsid w:val="00450E7D"/>
    <w:rsid w:val="004513DA"/>
    <w:rsid w:val="0045143E"/>
    <w:rsid w:val="00451D6A"/>
    <w:rsid w:val="00452521"/>
    <w:rsid w:val="004534A2"/>
    <w:rsid w:val="00456B5F"/>
    <w:rsid w:val="0045774F"/>
    <w:rsid w:val="004606AA"/>
    <w:rsid w:val="00460933"/>
    <w:rsid w:val="00460EBB"/>
    <w:rsid w:val="00463595"/>
    <w:rsid w:val="0046488F"/>
    <w:rsid w:val="004650C9"/>
    <w:rsid w:val="00465C3D"/>
    <w:rsid w:val="00466868"/>
    <w:rsid w:val="004705EB"/>
    <w:rsid w:val="00471A78"/>
    <w:rsid w:val="00472CFC"/>
    <w:rsid w:val="0047503A"/>
    <w:rsid w:val="00475966"/>
    <w:rsid w:val="004759D9"/>
    <w:rsid w:val="004766DC"/>
    <w:rsid w:val="00476BA5"/>
    <w:rsid w:val="00480694"/>
    <w:rsid w:val="00483ABE"/>
    <w:rsid w:val="0048533E"/>
    <w:rsid w:val="004855CC"/>
    <w:rsid w:val="004858A8"/>
    <w:rsid w:val="0048688C"/>
    <w:rsid w:val="00487673"/>
    <w:rsid w:val="00494C2E"/>
    <w:rsid w:val="00496217"/>
    <w:rsid w:val="004A33DE"/>
    <w:rsid w:val="004B0ABB"/>
    <w:rsid w:val="004B3507"/>
    <w:rsid w:val="004B396A"/>
    <w:rsid w:val="004B3C1D"/>
    <w:rsid w:val="004B4668"/>
    <w:rsid w:val="004B4AE2"/>
    <w:rsid w:val="004B4C56"/>
    <w:rsid w:val="004B5373"/>
    <w:rsid w:val="004C0400"/>
    <w:rsid w:val="004C13B9"/>
    <w:rsid w:val="004C1AE3"/>
    <w:rsid w:val="004C2082"/>
    <w:rsid w:val="004C209E"/>
    <w:rsid w:val="004C2DC9"/>
    <w:rsid w:val="004C3D08"/>
    <w:rsid w:val="004C54C6"/>
    <w:rsid w:val="004D057A"/>
    <w:rsid w:val="004D2B75"/>
    <w:rsid w:val="004D2E0E"/>
    <w:rsid w:val="004D31AE"/>
    <w:rsid w:val="004D70C8"/>
    <w:rsid w:val="004D7F06"/>
    <w:rsid w:val="004E0595"/>
    <w:rsid w:val="004E194D"/>
    <w:rsid w:val="004E4EC3"/>
    <w:rsid w:val="004E5940"/>
    <w:rsid w:val="004F1D74"/>
    <w:rsid w:val="004F1ED9"/>
    <w:rsid w:val="004F3B4F"/>
    <w:rsid w:val="005007BE"/>
    <w:rsid w:val="00500C0C"/>
    <w:rsid w:val="00500DE0"/>
    <w:rsid w:val="00506ECF"/>
    <w:rsid w:val="005119E3"/>
    <w:rsid w:val="005130DE"/>
    <w:rsid w:val="0051348C"/>
    <w:rsid w:val="00514C79"/>
    <w:rsid w:val="00515C68"/>
    <w:rsid w:val="00516082"/>
    <w:rsid w:val="00516AE8"/>
    <w:rsid w:val="00516BB1"/>
    <w:rsid w:val="00517196"/>
    <w:rsid w:val="00517CD5"/>
    <w:rsid w:val="00520618"/>
    <w:rsid w:val="00521998"/>
    <w:rsid w:val="00522105"/>
    <w:rsid w:val="005241A1"/>
    <w:rsid w:val="0052554F"/>
    <w:rsid w:val="00525765"/>
    <w:rsid w:val="00526C5B"/>
    <w:rsid w:val="00527677"/>
    <w:rsid w:val="005277AC"/>
    <w:rsid w:val="00527C92"/>
    <w:rsid w:val="005310B9"/>
    <w:rsid w:val="00531DC6"/>
    <w:rsid w:val="00531F7F"/>
    <w:rsid w:val="00531FDB"/>
    <w:rsid w:val="00532FB7"/>
    <w:rsid w:val="0053306C"/>
    <w:rsid w:val="005347B6"/>
    <w:rsid w:val="00534EC0"/>
    <w:rsid w:val="00537BDD"/>
    <w:rsid w:val="00542077"/>
    <w:rsid w:val="0054263E"/>
    <w:rsid w:val="005436AF"/>
    <w:rsid w:val="00544B81"/>
    <w:rsid w:val="0054592F"/>
    <w:rsid w:val="00545F94"/>
    <w:rsid w:val="005505B4"/>
    <w:rsid w:val="005511AE"/>
    <w:rsid w:val="005543A5"/>
    <w:rsid w:val="00556111"/>
    <w:rsid w:val="00556256"/>
    <w:rsid w:val="00563CB8"/>
    <w:rsid w:val="0056449C"/>
    <w:rsid w:val="00564EDA"/>
    <w:rsid w:val="00565147"/>
    <w:rsid w:val="00565B60"/>
    <w:rsid w:val="00566151"/>
    <w:rsid w:val="00570539"/>
    <w:rsid w:val="00574516"/>
    <w:rsid w:val="00575EB1"/>
    <w:rsid w:val="00576175"/>
    <w:rsid w:val="00581BFC"/>
    <w:rsid w:val="00586300"/>
    <w:rsid w:val="00587F53"/>
    <w:rsid w:val="00590825"/>
    <w:rsid w:val="00590E94"/>
    <w:rsid w:val="00591251"/>
    <w:rsid w:val="0059231F"/>
    <w:rsid w:val="0059298E"/>
    <w:rsid w:val="0059598A"/>
    <w:rsid w:val="00596C60"/>
    <w:rsid w:val="005A05EA"/>
    <w:rsid w:val="005A0CD8"/>
    <w:rsid w:val="005A1D2C"/>
    <w:rsid w:val="005A20B5"/>
    <w:rsid w:val="005A3355"/>
    <w:rsid w:val="005A550D"/>
    <w:rsid w:val="005A6708"/>
    <w:rsid w:val="005B1890"/>
    <w:rsid w:val="005B208C"/>
    <w:rsid w:val="005B3D1E"/>
    <w:rsid w:val="005B4857"/>
    <w:rsid w:val="005C28E1"/>
    <w:rsid w:val="005C3926"/>
    <w:rsid w:val="005C7271"/>
    <w:rsid w:val="005C78C1"/>
    <w:rsid w:val="005C7F95"/>
    <w:rsid w:val="005D0BB4"/>
    <w:rsid w:val="005D2F56"/>
    <w:rsid w:val="005D33E6"/>
    <w:rsid w:val="005D48E5"/>
    <w:rsid w:val="005D5B29"/>
    <w:rsid w:val="005D5EE6"/>
    <w:rsid w:val="005D6DBF"/>
    <w:rsid w:val="005E0BA3"/>
    <w:rsid w:val="005E12F9"/>
    <w:rsid w:val="005E1D8E"/>
    <w:rsid w:val="005E1E3B"/>
    <w:rsid w:val="005E2155"/>
    <w:rsid w:val="005E25B8"/>
    <w:rsid w:val="005E3611"/>
    <w:rsid w:val="005E483E"/>
    <w:rsid w:val="005E50D6"/>
    <w:rsid w:val="005E5BDD"/>
    <w:rsid w:val="005F28E1"/>
    <w:rsid w:val="005F2AE5"/>
    <w:rsid w:val="005F5898"/>
    <w:rsid w:val="005F6454"/>
    <w:rsid w:val="005F68E7"/>
    <w:rsid w:val="005F7FCD"/>
    <w:rsid w:val="00606212"/>
    <w:rsid w:val="006066EE"/>
    <w:rsid w:val="00612020"/>
    <w:rsid w:val="0062096A"/>
    <w:rsid w:val="00620FF9"/>
    <w:rsid w:val="006229A8"/>
    <w:rsid w:val="00622E91"/>
    <w:rsid w:val="00623BA6"/>
    <w:rsid w:val="00623E6D"/>
    <w:rsid w:val="00624526"/>
    <w:rsid w:val="00624F51"/>
    <w:rsid w:val="006253C5"/>
    <w:rsid w:val="00625D60"/>
    <w:rsid w:val="00626CC7"/>
    <w:rsid w:val="00627249"/>
    <w:rsid w:val="006318B8"/>
    <w:rsid w:val="006326F3"/>
    <w:rsid w:val="006348BD"/>
    <w:rsid w:val="006368CB"/>
    <w:rsid w:val="00636B2E"/>
    <w:rsid w:val="006373B7"/>
    <w:rsid w:val="00643DF2"/>
    <w:rsid w:val="00645D57"/>
    <w:rsid w:val="00651805"/>
    <w:rsid w:val="00653521"/>
    <w:rsid w:val="00653B49"/>
    <w:rsid w:val="00654F49"/>
    <w:rsid w:val="00655F65"/>
    <w:rsid w:val="00656A5B"/>
    <w:rsid w:val="00656AFF"/>
    <w:rsid w:val="006572B4"/>
    <w:rsid w:val="006575DC"/>
    <w:rsid w:val="00657A97"/>
    <w:rsid w:val="006606CB"/>
    <w:rsid w:val="006619FE"/>
    <w:rsid w:val="00663022"/>
    <w:rsid w:val="00663CE1"/>
    <w:rsid w:val="0066481D"/>
    <w:rsid w:val="00664FCF"/>
    <w:rsid w:val="00666F58"/>
    <w:rsid w:val="00667D22"/>
    <w:rsid w:val="00670063"/>
    <w:rsid w:val="006719C0"/>
    <w:rsid w:val="006726A0"/>
    <w:rsid w:val="0067344B"/>
    <w:rsid w:val="00673E41"/>
    <w:rsid w:val="006743AD"/>
    <w:rsid w:val="006756E0"/>
    <w:rsid w:val="00676520"/>
    <w:rsid w:val="00677D19"/>
    <w:rsid w:val="0068005A"/>
    <w:rsid w:val="00681852"/>
    <w:rsid w:val="006832E1"/>
    <w:rsid w:val="006842B1"/>
    <w:rsid w:val="006846D8"/>
    <w:rsid w:val="006869DA"/>
    <w:rsid w:val="00687818"/>
    <w:rsid w:val="006906B7"/>
    <w:rsid w:val="00690780"/>
    <w:rsid w:val="006918BF"/>
    <w:rsid w:val="006922F1"/>
    <w:rsid w:val="006942BB"/>
    <w:rsid w:val="006944D4"/>
    <w:rsid w:val="00694E28"/>
    <w:rsid w:val="0069683E"/>
    <w:rsid w:val="00697E0D"/>
    <w:rsid w:val="006A0CD4"/>
    <w:rsid w:val="006A0E74"/>
    <w:rsid w:val="006A4A9F"/>
    <w:rsid w:val="006A6A39"/>
    <w:rsid w:val="006B108D"/>
    <w:rsid w:val="006B1995"/>
    <w:rsid w:val="006B2279"/>
    <w:rsid w:val="006B30A0"/>
    <w:rsid w:val="006B32FA"/>
    <w:rsid w:val="006B7FF9"/>
    <w:rsid w:val="006C09E5"/>
    <w:rsid w:val="006C1AE4"/>
    <w:rsid w:val="006C241D"/>
    <w:rsid w:val="006C2E4F"/>
    <w:rsid w:val="006C3C26"/>
    <w:rsid w:val="006C588E"/>
    <w:rsid w:val="006C5AFC"/>
    <w:rsid w:val="006C6310"/>
    <w:rsid w:val="006C6902"/>
    <w:rsid w:val="006D014D"/>
    <w:rsid w:val="006D06DB"/>
    <w:rsid w:val="006D1E06"/>
    <w:rsid w:val="006D226D"/>
    <w:rsid w:val="006D22AA"/>
    <w:rsid w:val="006D34F5"/>
    <w:rsid w:val="006D3EC5"/>
    <w:rsid w:val="006D4A38"/>
    <w:rsid w:val="006D7884"/>
    <w:rsid w:val="006D7F0B"/>
    <w:rsid w:val="006E21FD"/>
    <w:rsid w:val="006E3D33"/>
    <w:rsid w:val="006E49BD"/>
    <w:rsid w:val="006E509D"/>
    <w:rsid w:val="006E5A73"/>
    <w:rsid w:val="006E62D2"/>
    <w:rsid w:val="006E6FB8"/>
    <w:rsid w:val="006F0297"/>
    <w:rsid w:val="006F0A86"/>
    <w:rsid w:val="006F53B8"/>
    <w:rsid w:val="006F7510"/>
    <w:rsid w:val="00700728"/>
    <w:rsid w:val="00707FB7"/>
    <w:rsid w:val="00710E59"/>
    <w:rsid w:val="00711C1A"/>
    <w:rsid w:val="00716C82"/>
    <w:rsid w:val="00717E1E"/>
    <w:rsid w:val="00722440"/>
    <w:rsid w:val="007234B9"/>
    <w:rsid w:val="00723924"/>
    <w:rsid w:val="00726218"/>
    <w:rsid w:val="00726E99"/>
    <w:rsid w:val="0072786D"/>
    <w:rsid w:val="007325BD"/>
    <w:rsid w:val="00732663"/>
    <w:rsid w:val="007354C2"/>
    <w:rsid w:val="00735DF1"/>
    <w:rsid w:val="00740433"/>
    <w:rsid w:val="00741A71"/>
    <w:rsid w:val="007421EB"/>
    <w:rsid w:val="007429F4"/>
    <w:rsid w:val="00743FD9"/>
    <w:rsid w:val="007505D7"/>
    <w:rsid w:val="00750BD6"/>
    <w:rsid w:val="00752BE1"/>
    <w:rsid w:val="00754970"/>
    <w:rsid w:val="00754A8B"/>
    <w:rsid w:val="00755506"/>
    <w:rsid w:val="007571BE"/>
    <w:rsid w:val="007572C2"/>
    <w:rsid w:val="0076015A"/>
    <w:rsid w:val="0076075C"/>
    <w:rsid w:val="0076085D"/>
    <w:rsid w:val="00761A07"/>
    <w:rsid w:val="0076277D"/>
    <w:rsid w:val="00763C0F"/>
    <w:rsid w:val="0076614B"/>
    <w:rsid w:val="007711F8"/>
    <w:rsid w:val="0077354A"/>
    <w:rsid w:val="007828FF"/>
    <w:rsid w:val="007871D1"/>
    <w:rsid w:val="00787DD0"/>
    <w:rsid w:val="00792958"/>
    <w:rsid w:val="00794379"/>
    <w:rsid w:val="00794FF8"/>
    <w:rsid w:val="007952CB"/>
    <w:rsid w:val="00796D78"/>
    <w:rsid w:val="00797F0B"/>
    <w:rsid w:val="00797F96"/>
    <w:rsid w:val="007A07A0"/>
    <w:rsid w:val="007A097D"/>
    <w:rsid w:val="007A2894"/>
    <w:rsid w:val="007A56B6"/>
    <w:rsid w:val="007A65CB"/>
    <w:rsid w:val="007A7083"/>
    <w:rsid w:val="007A7DEA"/>
    <w:rsid w:val="007B1935"/>
    <w:rsid w:val="007B56E8"/>
    <w:rsid w:val="007B7CC6"/>
    <w:rsid w:val="007C1DED"/>
    <w:rsid w:val="007C5E50"/>
    <w:rsid w:val="007C62FD"/>
    <w:rsid w:val="007C65EF"/>
    <w:rsid w:val="007C6748"/>
    <w:rsid w:val="007C7E3E"/>
    <w:rsid w:val="007D2BE8"/>
    <w:rsid w:val="007D2F86"/>
    <w:rsid w:val="007D3B16"/>
    <w:rsid w:val="007D7CDC"/>
    <w:rsid w:val="007E27EF"/>
    <w:rsid w:val="007E3BFB"/>
    <w:rsid w:val="007E682A"/>
    <w:rsid w:val="007F0D4B"/>
    <w:rsid w:val="007F4112"/>
    <w:rsid w:val="007F4351"/>
    <w:rsid w:val="007F4B25"/>
    <w:rsid w:val="007F4D49"/>
    <w:rsid w:val="007F63BD"/>
    <w:rsid w:val="007F7A5C"/>
    <w:rsid w:val="008011CD"/>
    <w:rsid w:val="008013E4"/>
    <w:rsid w:val="00804C7C"/>
    <w:rsid w:val="00805498"/>
    <w:rsid w:val="00806702"/>
    <w:rsid w:val="00810735"/>
    <w:rsid w:val="00813D78"/>
    <w:rsid w:val="00814156"/>
    <w:rsid w:val="008156E9"/>
    <w:rsid w:val="008173D2"/>
    <w:rsid w:val="008178CA"/>
    <w:rsid w:val="00820B67"/>
    <w:rsid w:val="00820D66"/>
    <w:rsid w:val="008234E6"/>
    <w:rsid w:val="00824768"/>
    <w:rsid w:val="0082575F"/>
    <w:rsid w:val="00826504"/>
    <w:rsid w:val="00830A89"/>
    <w:rsid w:val="00831012"/>
    <w:rsid w:val="008322EE"/>
    <w:rsid w:val="0083261F"/>
    <w:rsid w:val="00833369"/>
    <w:rsid w:val="00836AF1"/>
    <w:rsid w:val="008376AC"/>
    <w:rsid w:val="00841F76"/>
    <w:rsid w:val="00841FBF"/>
    <w:rsid w:val="0084232F"/>
    <w:rsid w:val="00847D3C"/>
    <w:rsid w:val="00851516"/>
    <w:rsid w:val="0085171B"/>
    <w:rsid w:val="008517FB"/>
    <w:rsid w:val="008527AE"/>
    <w:rsid w:val="00853213"/>
    <w:rsid w:val="00854B47"/>
    <w:rsid w:val="00855D78"/>
    <w:rsid w:val="00857003"/>
    <w:rsid w:val="00861B1C"/>
    <w:rsid w:val="00861FF8"/>
    <w:rsid w:val="008621DD"/>
    <w:rsid w:val="00863B7C"/>
    <w:rsid w:val="00864FA4"/>
    <w:rsid w:val="00866ABF"/>
    <w:rsid w:val="0086791E"/>
    <w:rsid w:val="0087241B"/>
    <w:rsid w:val="008751E0"/>
    <w:rsid w:val="0087551D"/>
    <w:rsid w:val="00877840"/>
    <w:rsid w:val="008807CA"/>
    <w:rsid w:val="00880BDA"/>
    <w:rsid w:val="00880C00"/>
    <w:rsid w:val="00880C29"/>
    <w:rsid w:val="00881A86"/>
    <w:rsid w:val="00883E30"/>
    <w:rsid w:val="00883E3C"/>
    <w:rsid w:val="00885CCB"/>
    <w:rsid w:val="008909B7"/>
    <w:rsid w:val="008909F1"/>
    <w:rsid w:val="008941EB"/>
    <w:rsid w:val="008942C7"/>
    <w:rsid w:val="00894422"/>
    <w:rsid w:val="00894537"/>
    <w:rsid w:val="008947B7"/>
    <w:rsid w:val="008948CC"/>
    <w:rsid w:val="00895785"/>
    <w:rsid w:val="00895A39"/>
    <w:rsid w:val="0089618F"/>
    <w:rsid w:val="008A1FFB"/>
    <w:rsid w:val="008A2605"/>
    <w:rsid w:val="008A267F"/>
    <w:rsid w:val="008B03CF"/>
    <w:rsid w:val="008B0836"/>
    <w:rsid w:val="008B0E54"/>
    <w:rsid w:val="008B162D"/>
    <w:rsid w:val="008B40D5"/>
    <w:rsid w:val="008B4CCF"/>
    <w:rsid w:val="008B4E0E"/>
    <w:rsid w:val="008B4FB1"/>
    <w:rsid w:val="008C0F16"/>
    <w:rsid w:val="008C1ED4"/>
    <w:rsid w:val="008C2474"/>
    <w:rsid w:val="008C2999"/>
    <w:rsid w:val="008C2FDC"/>
    <w:rsid w:val="008C3260"/>
    <w:rsid w:val="008C34A1"/>
    <w:rsid w:val="008C40E3"/>
    <w:rsid w:val="008C4D1F"/>
    <w:rsid w:val="008C5C38"/>
    <w:rsid w:val="008C6494"/>
    <w:rsid w:val="008C691C"/>
    <w:rsid w:val="008C781F"/>
    <w:rsid w:val="008C7986"/>
    <w:rsid w:val="008D1789"/>
    <w:rsid w:val="008D1D7D"/>
    <w:rsid w:val="008D2A76"/>
    <w:rsid w:val="008D47D3"/>
    <w:rsid w:val="008D6991"/>
    <w:rsid w:val="008D6AD9"/>
    <w:rsid w:val="008D6ED4"/>
    <w:rsid w:val="008E03BB"/>
    <w:rsid w:val="008E2DC2"/>
    <w:rsid w:val="008E327F"/>
    <w:rsid w:val="008E37BD"/>
    <w:rsid w:val="008E3CF5"/>
    <w:rsid w:val="008E49C9"/>
    <w:rsid w:val="008E4D8C"/>
    <w:rsid w:val="008E4E52"/>
    <w:rsid w:val="008E535C"/>
    <w:rsid w:val="008E642D"/>
    <w:rsid w:val="008E75A8"/>
    <w:rsid w:val="008F0835"/>
    <w:rsid w:val="008F2416"/>
    <w:rsid w:val="008F2F47"/>
    <w:rsid w:val="008F3F90"/>
    <w:rsid w:val="008F430E"/>
    <w:rsid w:val="008F5195"/>
    <w:rsid w:val="008F5AA4"/>
    <w:rsid w:val="008F5CC8"/>
    <w:rsid w:val="008F622B"/>
    <w:rsid w:val="008F664B"/>
    <w:rsid w:val="008F6EE3"/>
    <w:rsid w:val="00900F2D"/>
    <w:rsid w:val="00901024"/>
    <w:rsid w:val="0090126F"/>
    <w:rsid w:val="00901CE2"/>
    <w:rsid w:val="00911DDF"/>
    <w:rsid w:val="00913C81"/>
    <w:rsid w:val="009162B7"/>
    <w:rsid w:val="00922800"/>
    <w:rsid w:val="009228D6"/>
    <w:rsid w:val="00925DBF"/>
    <w:rsid w:val="00927B2D"/>
    <w:rsid w:val="00932C9B"/>
    <w:rsid w:val="00940C19"/>
    <w:rsid w:val="00940DF0"/>
    <w:rsid w:val="009419BA"/>
    <w:rsid w:val="009428DF"/>
    <w:rsid w:val="00942D9C"/>
    <w:rsid w:val="00947A15"/>
    <w:rsid w:val="00953641"/>
    <w:rsid w:val="00953780"/>
    <w:rsid w:val="00957111"/>
    <w:rsid w:val="00957606"/>
    <w:rsid w:val="009607E1"/>
    <w:rsid w:val="00960AF4"/>
    <w:rsid w:val="00961D04"/>
    <w:rsid w:val="00962CF1"/>
    <w:rsid w:val="00963567"/>
    <w:rsid w:val="00963CE1"/>
    <w:rsid w:val="00966A02"/>
    <w:rsid w:val="00967F05"/>
    <w:rsid w:val="009733BB"/>
    <w:rsid w:val="00973D52"/>
    <w:rsid w:val="00973DCD"/>
    <w:rsid w:val="00975756"/>
    <w:rsid w:val="009767FE"/>
    <w:rsid w:val="009776B6"/>
    <w:rsid w:val="0098024A"/>
    <w:rsid w:val="00983CC9"/>
    <w:rsid w:val="00983CD9"/>
    <w:rsid w:val="00984F84"/>
    <w:rsid w:val="00987A7E"/>
    <w:rsid w:val="00991F98"/>
    <w:rsid w:val="009922CE"/>
    <w:rsid w:val="00996F63"/>
    <w:rsid w:val="009A17AC"/>
    <w:rsid w:val="009A1F94"/>
    <w:rsid w:val="009A3D2E"/>
    <w:rsid w:val="009A4B4B"/>
    <w:rsid w:val="009A51C3"/>
    <w:rsid w:val="009A661F"/>
    <w:rsid w:val="009A6A33"/>
    <w:rsid w:val="009A796D"/>
    <w:rsid w:val="009A7999"/>
    <w:rsid w:val="009B0C46"/>
    <w:rsid w:val="009B109E"/>
    <w:rsid w:val="009B1F44"/>
    <w:rsid w:val="009B2713"/>
    <w:rsid w:val="009B2B00"/>
    <w:rsid w:val="009B2B11"/>
    <w:rsid w:val="009B4CDF"/>
    <w:rsid w:val="009B5CEE"/>
    <w:rsid w:val="009B63B7"/>
    <w:rsid w:val="009B6F7F"/>
    <w:rsid w:val="009B7469"/>
    <w:rsid w:val="009B7840"/>
    <w:rsid w:val="009C1F6A"/>
    <w:rsid w:val="009C5401"/>
    <w:rsid w:val="009C6606"/>
    <w:rsid w:val="009C7DBE"/>
    <w:rsid w:val="009D2F03"/>
    <w:rsid w:val="009D336D"/>
    <w:rsid w:val="009D37E7"/>
    <w:rsid w:val="009D3895"/>
    <w:rsid w:val="009D4F00"/>
    <w:rsid w:val="009D6754"/>
    <w:rsid w:val="009D6D09"/>
    <w:rsid w:val="009D6DBA"/>
    <w:rsid w:val="009D76CE"/>
    <w:rsid w:val="009D7996"/>
    <w:rsid w:val="009E089C"/>
    <w:rsid w:val="009E0B45"/>
    <w:rsid w:val="009E1A02"/>
    <w:rsid w:val="009E6711"/>
    <w:rsid w:val="009E70B0"/>
    <w:rsid w:val="009E78BF"/>
    <w:rsid w:val="009F14F0"/>
    <w:rsid w:val="00A000DA"/>
    <w:rsid w:val="00A00940"/>
    <w:rsid w:val="00A02101"/>
    <w:rsid w:val="00A02873"/>
    <w:rsid w:val="00A04297"/>
    <w:rsid w:val="00A06280"/>
    <w:rsid w:val="00A07FA4"/>
    <w:rsid w:val="00A109CC"/>
    <w:rsid w:val="00A109FF"/>
    <w:rsid w:val="00A10D5F"/>
    <w:rsid w:val="00A11827"/>
    <w:rsid w:val="00A1371D"/>
    <w:rsid w:val="00A1425F"/>
    <w:rsid w:val="00A1521B"/>
    <w:rsid w:val="00A2017D"/>
    <w:rsid w:val="00A2076F"/>
    <w:rsid w:val="00A22521"/>
    <w:rsid w:val="00A22581"/>
    <w:rsid w:val="00A22A15"/>
    <w:rsid w:val="00A22D62"/>
    <w:rsid w:val="00A24962"/>
    <w:rsid w:val="00A2522D"/>
    <w:rsid w:val="00A25B4C"/>
    <w:rsid w:val="00A25DF6"/>
    <w:rsid w:val="00A278D9"/>
    <w:rsid w:val="00A30645"/>
    <w:rsid w:val="00A3248C"/>
    <w:rsid w:val="00A32608"/>
    <w:rsid w:val="00A32D71"/>
    <w:rsid w:val="00A3351C"/>
    <w:rsid w:val="00A34322"/>
    <w:rsid w:val="00A36303"/>
    <w:rsid w:val="00A364AA"/>
    <w:rsid w:val="00A37D3F"/>
    <w:rsid w:val="00A40CA6"/>
    <w:rsid w:val="00A41C8F"/>
    <w:rsid w:val="00A43F81"/>
    <w:rsid w:val="00A44778"/>
    <w:rsid w:val="00A44D9B"/>
    <w:rsid w:val="00A45062"/>
    <w:rsid w:val="00A4670F"/>
    <w:rsid w:val="00A467E1"/>
    <w:rsid w:val="00A54686"/>
    <w:rsid w:val="00A54737"/>
    <w:rsid w:val="00A5521D"/>
    <w:rsid w:val="00A55343"/>
    <w:rsid w:val="00A56A7B"/>
    <w:rsid w:val="00A576E1"/>
    <w:rsid w:val="00A627A5"/>
    <w:rsid w:val="00A64B20"/>
    <w:rsid w:val="00A659E4"/>
    <w:rsid w:val="00A67047"/>
    <w:rsid w:val="00A67354"/>
    <w:rsid w:val="00A67D08"/>
    <w:rsid w:val="00A71046"/>
    <w:rsid w:val="00A7176F"/>
    <w:rsid w:val="00A761B0"/>
    <w:rsid w:val="00A774DC"/>
    <w:rsid w:val="00A82B28"/>
    <w:rsid w:val="00A82DDF"/>
    <w:rsid w:val="00A83166"/>
    <w:rsid w:val="00A83407"/>
    <w:rsid w:val="00A87301"/>
    <w:rsid w:val="00A90447"/>
    <w:rsid w:val="00A907DD"/>
    <w:rsid w:val="00A90DF1"/>
    <w:rsid w:val="00A90E62"/>
    <w:rsid w:val="00A910DA"/>
    <w:rsid w:val="00A9342F"/>
    <w:rsid w:val="00A96F1C"/>
    <w:rsid w:val="00AA159D"/>
    <w:rsid w:val="00AA2484"/>
    <w:rsid w:val="00AA2D88"/>
    <w:rsid w:val="00AA6005"/>
    <w:rsid w:val="00AA7374"/>
    <w:rsid w:val="00AA73D1"/>
    <w:rsid w:val="00AB0A8B"/>
    <w:rsid w:val="00AB3F67"/>
    <w:rsid w:val="00AB5149"/>
    <w:rsid w:val="00AB614A"/>
    <w:rsid w:val="00AB665E"/>
    <w:rsid w:val="00AB7378"/>
    <w:rsid w:val="00AB7B21"/>
    <w:rsid w:val="00AC0641"/>
    <w:rsid w:val="00AC15D5"/>
    <w:rsid w:val="00AC3EE8"/>
    <w:rsid w:val="00AC4CDA"/>
    <w:rsid w:val="00AC5307"/>
    <w:rsid w:val="00AC6B9B"/>
    <w:rsid w:val="00AD0C45"/>
    <w:rsid w:val="00AD0E39"/>
    <w:rsid w:val="00AD10B8"/>
    <w:rsid w:val="00AD3C92"/>
    <w:rsid w:val="00AD404D"/>
    <w:rsid w:val="00AD4776"/>
    <w:rsid w:val="00AD493F"/>
    <w:rsid w:val="00AD4BCB"/>
    <w:rsid w:val="00AD4D58"/>
    <w:rsid w:val="00AD6F05"/>
    <w:rsid w:val="00AD7BD1"/>
    <w:rsid w:val="00AE5CBB"/>
    <w:rsid w:val="00AE7E00"/>
    <w:rsid w:val="00AF06B7"/>
    <w:rsid w:val="00AF1F6E"/>
    <w:rsid w:val="00AF5B01"/>
    <w:rsid w:val="00AF5B8D"/>
    <w:rsid w:val="00AF6271"/>
    <w:rsid w:val="00AF6887"/>
    <w:rsid w:val="00AF6AA3"/>
    <w:rsid w:val="00AF760F"/>
    <w:rsid w:val="00B00581"/>
    <w:rsid w:val="00B0232B"/>
    <w:rsid w:val="00B02814"/>
    <w:rsid w:val="00B029EB"/>
    <w:rsid w:val="00B0763E"/>
    <w:rsid w:val="00B07B34"/>
    <w:rsid w:val="00B10169"/>
    <w:rsid w:val="00B11302"/>
    <w:rsid w:val="00B12992"/>
    <w:rsid w:val="00B12EFA"/>
    <w:rsid w:val="00B13953"/>
    <w:rsid w:val="00B1468F"/>
    <w:rsid w:val="00B158C3"/>
    <w:rsid w:val="00B160F7"/>
    <w:rsid w:val="00B16DAE"/>
    <w:rsid w:val="00B205B1"/>
    <w:rsid w:val="00B305AF"/>
    <w:rsid w:val="00B3065A"/>
    <w:rsid w:val="00B30AAF"/>
    <w:rsid w:val="00B34D54"/>
    <w:rsid w:val="00B36ABF"/>
    <w:rsid w:val="00B40B97"/>
    <w:rsid w:val="00B420A7"/>
    <w:rsid w:val="00B42432"/>
    <w:rsid w:val="00B425D2"/>
    <w:rsid w:val="00B42CF1"/>
    <w:rsid w:val="00B478EA"/>
    <w:rsid w:val="00B47A62"/>
    <w:rsid w:val="00B47DBC"/>
    <w:rsid w:val="00B5282C"/>
    <w:rsid w:val="00B537EA"/>
    <w:rsid w:val="00B549C4"/>
    <w:rsid w:val="00B559DE"/>
    <w:rsid w:val="00B56235"/>
    <w:rsid w:val="00B6275A"/>
    <w:rsid w:val="00B629F9"/>
    <w:rsid w:val="00B630DD"/>
    <w:rsid w:val="00B657E1"/>
    <w:rsid w:val="00B664B7"/>
    <w:rsid w:val="00B66FEC"/>
    <w:rsid w:val="00B70E48"/>
    <w:rsid w:val="00B71A80"/>
    <w:rsid w:val="00B72123"/>
    <w:rsid w:val="00B725DE"/>
    <w:rsid w:val="00B76B1B"/>
    <w:rsid w:val="00B83051"/>
    <w:rsid w:val="00B84DFC"/>
    <w:rsid w:val="00B87C51"/>
    <w:rsid w:val="00B90FEA"/>
    <w:rsid w:val="00B91A3C"/>
    <w:rsid w:val="00B971E3"/>
    <w:rsid w:val="00BA05A9"/>
    <w:rsid w:val="00BA2768"/>
    <w:rsid w:val="00BA35C6"/>
    <w:rsid w:val="00BA57E3"/>
    <w:rsid w:val="00BA5ED7"/>
    <w:rsid w:val="00BA7AF5"/>
    <w:rsid w:val="00BB0832"/>
    <w:rsid w:val="00BB69C7"/>
    <w:rsid w:val="00BC1293"/>
    <w:rsid w:val="00BC43D9"/>
    <w:rsid w:val="00BC4FF7"/>
    <w:rsid w:val="00BC599D"/>
    <w:rsid w:val="00BC5B18"/>
    <w:rsid w:val="00BC5B52"/>
    <w:rsid w:val="00BC6DF4"/>
    <w:rsid w:val="00BC73EA"/>
    <w:rsid w:val="00BC78CB"/>
    <w:rsid w:val="00BD0C54"/>
    <w:rsid w:val="00BD0ECA"/>
    <w:rsid w:val="00BE27AE"/>
    <w:rsid w:val="00BE35B5"/>
    <w:rsid w:val="00BE3968"/>
    <w:rsid w:val="00BE4B93"/>
    <w:rsid w:val="00BE5A60"/>
    <w:rsid w:val="00BE6361"/>
    <w:rsid w:val="00BF06B0"/>
    <w:rsid w:val="00BF0E5A"/>
    <w:rsid w:val="00BF122B"/>
    <w:rsid w:val="00BF1C84"/>
    <w:rsid w:val="00BF5309"/>
    <w:rsid w:val="00BF6932"/>
    <w:rsid w:val="00BF7C4A"/>
    <w:rsid w:val="00C003AC"/>
    <w:rsid w:val="00C0054F"/>
    <w:rsid w:val="00C006EB"/>
    <w:rsid w:val="00C01273"/>
    <w:rsid w:val="00C03313"/>
    <w:rsid w:val="00C0386D"/>
    <w:rsid w:val="00C0506C"/>
    <w:rsid w:val="00C061DA"/>
    <w:rsid w:val="00C061F0"/>
    <w:rsid w:val="00C07AE7"/>
    <w:rsid w:val="00C12107"/>
    <w:rsid w:val="00C12739"/>
    <w:rsid w:val="00C13914"/>
    <w:rsid w:val="00C144D7"/>
    <w:rsid w:val="00C144D9"/>
    <w:rsid w:val="00C15395"/>
    <w:rsid w:val="00C153EB"/>
    <w:rsid w:val="00C175DC"/>
    <w:rsid w:val="00C20C0B"/>
    <w:rsid w:val="00C21BD6"/>
    <w:rsid w:val="00C23904"/>
    <w:rsid w:val="00C23B9E"/>
    <w:rsid w:val="00C23BE2"/>
    <w:rsid w:val="00C2673A"/>
    <w:rsid w:val="00C26C2D"/>
    <w:rsid w:val="00C3109E"/>
    <w:rsid w:val="00C33425"/>
    <w:rsid w:val="00C33516"/>
    <w:rsid w:val="00C3352B"/>
    <w:rsid w:val="00C338FF"/>
    <w:rsid w:val="00C368AE"/>
    <w:rsid w:val="00C370B1"/>
    <w:rsid w:val="00C37473"/>
    <w:rsid w:val="00C415C4"/>
    <w:rsid w:val="00C447EE"/>
    <w:rsid w:val="00C454AD"/>
    <w:rsid w:val="00C4554C"/>
    <w:rsid w:val="00C46703"/>
    <w:rsid w:val="00C46EAF"/>
    <w:rsid w:val="00C50BBF"/>
    <w:rsid w:val="00C51141"/>
    <w:rsid w:val="00C57A7A"/>
    <w:rsid w:val="00C61EB2"/>
    <w:rsid w:val="00C63216"/>
    <w:rsid w:val="00C63E04"/>
    <w:rsid w:val="00C65178"/>
    <w:rsid w:val="00C669E7"/>
    <w:rsid w:val="00C705DB"/>
    <w:rsid w:val="00C72C39"/>
    <w:rsid w:val="00C72D49"/>
    <w:rsid w:val="00C74E58"/>
    <w:rsid w:val="00C808E3"/>
    <w:rsid w:val="00C80E2F"/>
    <w:rsid w:val="00C810A5"/>
    <w:rsid w:val="00C81DA8"/>
    <w:rsid w:val="00C8580C"/>
    <w:rsid w:val="00C861D2"/>
    <w:rsid w:val="00C86D01"/>
    <w:rsid w:val="00C86F73"/>
    <w:rsid w:val="00C9214F"/>
    <w:rsid w:val="00C93ED7"/>
    <w:rsid w:val="00C94082"/>
    <w:rsid w:val="00C948E7"/>
    <w:rsid w:val="00C95A20"/>
    <w:rsid w:val="00C97CF1"/>
    <w:rsid w:val="00CA196B"/>
    <w:rsid w:val="00CA5318"/>
    <w:rsid w:val="00CA55F2"/>
    <w:rsid w:val="00CA6386"/>
    <w:rsid w:val="00CA7B2D"/>
    <w:rsid w:val="00CB009E"/>
    <w:rsid w:val="00CB0F05"/>
    <w:rsid w:val="00CB1503"/>
    <w:rsid w:val="00CB50A5"/>
    <w:rsid w:val="00CB5D1B"/>
    <w:rsid w:val="00CB6B1B"/>
    <w:rsid w:val="00CB74F6"/>
    <w:rsid w:val="00CB7B2E"/>
    <w:rsid w:val="00CC12A8"/>
    <w:rsid w:val="00CC5B57"/>
    <w:rsid w:val="00CC71D9"/>
    <w:rsid w:val="00CC7D46"/>
    <w:rsid w:val="00CD1358"/>
    <w:rsid w:val="00CD16AE"/>
    <w:rsid w:val="00CD644C"/>
    <w:rsid w:val="00CD7813"/>
    <w:rsid w:val="00CD7C17"/>
    <w:rsid w:val="00CE01A0"/>
    <w:rsid w:val="00CE2186"/>
    <w:rsid w:val="00CE2A53"/>
    <w:rsid w:val="00CE3C88"/>
    <w:rsid w:val="00CE46AF"/>
    <w:rsid w:val="00CE4C79"/>
    <w:rsid w:val="00CE5331"/>
    <w:rsid w:val="00CE724C"/>
    <w:rsid w:val="00CE75F2"/>
    <w:rsid w:val="00CF4323"/>
    <w:rsid w:val="00CF6967"/>
    <w:rsid w:val="00CF7296"/>
    <w:rsid w:val="00D01F74"/>
    <w:rsid w:val="00D05716"/>
    <w:rsid w:val="00D06FEA"/>
    <w:rsid w:val="00D074CB"/>
    <w:rsid w:val="00D101B8"/>
    <w:rsid w:val="00D10F88"/>
    <w:rsid w:val="00D11AB3"/>
    <w:rsid w:val="00D12373"/>
    <w:rsid w:val="00D14A70"/>
    <w:rsid w:val="00D17B2E"/>
    <w:rsid w:val="00D23A0D"/>
    <w:rsid w:val="00D23E39"/>
    <w:rsid w:val="00D24A82"/>
    <w:rsid w:val="00D26161"/>
    <w:rsid w:val="00D30A89"/>
    <w:rsid w:val="00D329F1"/>
    <w:rsid w:val="00D32F72"/>
    <w:rsid w:val="00D335A0"/>
    <w:rsid w:val="00D34988"/>
    <w:rsid w:val="00D353AB"/>
    <w:rsid w:val="00D41D98"/>
    <w:rsid w:val="00D43E2F"/>
    <w:rsid w:val="00D45048"/>
    <w:rsid w:val="00D4681C"/>
    <w:rsid w:val="00D47F31"/>
    <w:rsid w:val="00D547AF"/>
    <w:rsid w:val="00D579EC"/>
    <w:rsid w:val="00D60D44"/>
    <w:rsid w:val="00D61AB1"/>
    <w:rsid w:val="00D61D70"/>
    <w:rsid w:val="00D65F0C"/>
    <w:rsid w:val="00D662E6"/>
    <w:rsid w:val="00D676A5"/>
    <w:rsid w:val="00D70600"/>
    <w:rsid w:val="00D71E17"/>
    <w:rsid w:val="00D73E90"/>
    <w:rsid w:val="00D744C9"/>
    <w:rsid w:val="00D760A9"/>
    <w:rsid w:val="00D76660"/>
    <w:rsid w:val="00D76711"/>
    <w:rsid w:val="00D76CF2"/>
    <w:rsid w:val="00D80715"/>
    <w:rsid w:val="00D81969"/>
    <w:rsid w:val="00D826E7"/>
    <w:rsid w:val="00D844F3"/>
    <w:rsid w:val="00D91E54"/>
    <w:rsid w:val="00D94DC8"/>
    <w:rsid w:val="00D9593D"/>
    <w:rsid w:val="00D95E93"/>
    <w:rsid w:val="00D96157"/>
    <w:rsid w:val="00D961B6"/>
    <w:rsid w:val="00D96333"/>
    <w:rsid w:val="00D9680E"/>
    <w:rsid w:val="00DB1A87"/>
    <w:rsid w:val="00DB2BB0"/>
    <w:rsid w:val="00DB442E"/>
    <w:rsid w:val="00DB4D6E"/>
    <w:rsid w:val="00DC4456"/>
    <w:rsid w:val="00DC4978"/>
    <w:rsid w:val="00DC67C6"/>
    <w:rsid w:val="00DD05DC"/>
    <w:rsid w:val="00DD1C0E"/>
    <w:rsid w:val="00DD3B71"/>
    <w:rsid w:val="00DD5026"/>
    <w:rsid w:val="00DD554A"/>
    <w:rsid w:val="00DE0F81"/>
    <w:rsid w:val="00DE4FB0"/>
    <w:rsid w:val="00DE5578"/>
    <w:rsid w:val="00DE72F7"/>
    <w:rsid w:val="00DF075D"/>
    <w:rsid w:val="00DF337F"/>
    <w:rsid w:val="00DF3DB4"/>
    <w:rsid w:val="00DF623F"/>
    <w:rsid w:val="00DF63DC"/>
    <w:rsid w:val="00E01447"/>
    <w:rsid w:val="00E04E6A"/>
    <w:rsid w:val="00E10EDF"/>
    <w:rsid w:val="00E113A5"/>
    <w:rsid w:val="00E130D9"/>
    <w:rsid w:val="00E14522"/>
    <w:rsid w:val="00E1568E"/>
    <w:rsid w:val="00E215A7"/>
    <w:rsid w:val="00E21FB5"/>
    <w:rsid w:val="00E246BA"/>
    <w:rsid w:val="00E24C88"/>
    <w:rsid w:val="00E25807"/>
    <w:rsid w:val="00E27699"/>
    <w:rsid w:val="00E27B22"/>
    <w:rsid w:val="00E316C9"/>
    <w:rsid w:val="00E324AA"/>
    <w:rsid w:val="00E32C30"/>
    <w:rsid w:val="00E333F9"/>
    <w:rsid w:val="00E33570"/>
    <w:rsid w:val="00E36297"/>
    <w:rsid w:val="00E362D0"/>
    <w:rsid w:val="00E36C9C"/>
    <w:rsid w:val="00E4023C"/>
    <w:rsid w:val="00E41EE7"/>
    <w:rsid w:val="00E45AFD"/>
    <w:rsid w:val="00E4601A"/>
    <w:rsid w:val="00E46A3F"/>
    <w:rsid w:val="00E47AEA"/>
    <w:rsid w:val="00E53910"/>
    <w:rsid w:val="00E53ACD"/>
    <w:rsid w:val="00E575C0"/>
    <w:rsid w:val="00E61173"/>
    <w:rsid w:val="00E6210F"/>
    <w:rsid w:val="00E62955"/>
    <w:rsid w:val="00E65755"/>
    <w:rsid w:val="00E66793"/>
    <w:rsid w:val="00E667BB"/>
    <w:rsid w:val="00E7179C"/>
    <w:rsid w:val="00E749DF"/>
    <w:rsid w:val="00E75F8C"/>
    <w:rsid w:val="00E804EB"/>
    <w:rsid w:val="00E81CD6"/>
    <w:rsid w:val="00E81E85"/>
    <w:rsid w:val="00E858A5"/>
    <w:rsid w:val="00E85987"/>
    <w:rsid w:val="00E9026F"/>
    <w:rsid w:val="00E906B9"/>
    <w:rsid w:val="00E91F6B"/>
    <w:rsid w:val="00E92008"/>
    <w:rsid w:val="00E920D9"/>
    <w:rsid w:val="00E92186"/>
    <w:rsid w:val="00E92AAD"/>
    <w:rsid w:val="00E92DEC"/>
    <w:rsid w:val="00E9637D"/>
    <w:rsid w:val="00EA00F9"/>
    <w:rsid w:val="00EA20C5"/>
    <w:rsid w:val="00EA21D8"/>
    <w:rsid w:val="00EA30ED"/>
    <w:rsid w:val="00EA420F"/>
    <w:rsid w:val="00EA4AFD"/>
    <w:rsid w:val="00EA59EA"/>
    <w:rsid w:val="00EA631D"/>
    <w:rsid w:val="00EA6A56"/>
    <w:rsid w:val="00EA6E4A"/>
    <w:rsid w:val="00EA777F"/>
    <w:rsid w:val="00EA7B69"/>
    <w:rsid w:val="00EB0425"/>
    <w:rsid w:val="00EB050D"/>
    <w:rsid w:val="00EB3456"/>
    <w:rsid w:val="00EB3C7A"/>
    <w:rsid w:val="00EB42DA"/>
    <w:rsid w:val="00EB5A44"/>
    <w:rsid w:val="00EC1780"/>
    <w:rsid w:val="00EC1C27"/>
    <w:rsid w:val="00EC5B19"/>
    <w:rsid w:val="00EC6B7E"/>
    <w:rsid w:val="00EC6DC5"/>
    <w:rsid w:val="00ED3F73"/>
    <w:rsid w:val="00ED4ED8"/>
    <w:rsid w:val="00ED61CE"/>
    <w:rsid w:val="00EE09BE"/>
    <w:rsid w:val="00EE179F"/>
    <w:rsid w:val="00EE1B19"/>
    <w:rsid w:val="00EE2D52"/>
    <w:rsid w:val="00EE321E"/>
    <w:rsid w:val="00EE40F3"/>
    <w:rsid w:val="00EF1324"/>
    <w:rsid w:val="00EF4515"/>
    <w:rsid w:val="00EF4E39"/>
    <w:rsid w:val="00EF4FC2"/>
    <w:rsid w:val="00F007A8"/>
    <w:rsid w:val="00F017E6"/>
    <w:rsid w:val="00F036B9"/>
    <w:rsid w:val="00F04AEC"/>
    <w:rsid w:val="00F04C93"/>
    <w:rsid w:val="00F05A6B"/>
    <w:rsid w:val="00F07C13"/>
    <w:rsid w:val="00F11F31"/>
    <w:rsid w:val="00F121E3"/>
    <w:rsid w:val="00F1432F"/>
    <w:rsid w:val="00F17D73"/>
    <w:rsid w:val="00F20EB8"/>
    <w:rsid w:val="00F224C4"/>
    <w:rsid w:val="00F26324"/>
    <w:rsid w:val="00F265A5"/>
    <w:rsid w:val="00F26A75"/>
    <w:rsid w:val="00F31C07"/>
    <w:rsid w:val="00F346DD"/>
    <w:rsid w:val="00F357F3"/>
    <w:rsid w:val="00F35BCE"/>
    <w:rsid w:val="00F364A5"/>
    <w:rsid w:val="00F4122E"/>
    <w:rsid w:val="00F4194E"/>
    <w:rsid w:val="00F4264C"/>
    <w:rsid w:val="00F434FC"/>
    <w:rsid w:val="00F4406E"/>
    <w:rsid w:val="00F44F61"/>
    <w:rsid w:val="00F547B3"/>
    <w:rsid w:val="00F60F63"/>
    <w:rsid w:val="00F62F80"/>
    <w:rsid w:val="00F63CCC"/>
    <w:rsid w:val="00F67CBB"/>
    <w:rsid w:val="00F70DA7"/>
    <w:rsid w:val="00F70FFC"/>
    <w:rsid w:val="00F71B10"/>
    <w:rsid w:val="00F74692"/>
    <w:rsid w:val="00F76693"/>
    <w:rsid w:val="00F76C53"/>
    <w:rsid w:val="00F80090"/>
    <w:rsid w:val="00F80E7D"/>
    <w:rsid w:val="00F83617"/>
    <w:rsid w:val="00F83626"/>
    <w:rsid w:val="00F84861"/>
    <w:rsid w:val="00F84AA0"/>
    <w:rsid w:val="00F861A6"/>
    <w:rsid w:val="00F863F5"/>
    <w:rsid w:val="00F86CE2"/>
    <w:rsid w:val="00F90D58"/>
    <w:rsid w:val="00F9361F"/>
    <w:rsid w:val="00F93E92"/>
    <w:rsid w:val="00F948DF"/>
    <w:rsid w:val="00F94B3E"/>
    <w:rsid w:val="00F97196"/>
    <w:rsid w:val="00F97466"/>
    <w:rsid w:val="00F97478"/>
    <w:rsid w:val="00F976D8"/>
    <w:rsid w:val="00FA04F2"/>
    <w:rsid w:val="00FA17B7"/>
    <w:rsid w:val="00FA3909"/>
    <w:rsid w:val="00FA4E07"/>
    <w:rsid w:val="00FB283A"/>
    <w:rsid w:val="00FB3497"/>
    <w:rsid w:val="00FC05EB"/>
    <w:rsid w:val="00FC45EC"/>
    <w:rsid w:val="00FC7753"/>
    <w:rsid w:val="00FD1ED5"/>
    <w:rsid w:val="00FD2CF1"/>
    <w:rsid w:val="00FD300C"/>
    <w:rsid w:val="00FD4C9C"/>
    <w:rsid w:val="00FD6A12"/>
    <w:rsid w:val="00FE1170"/>
    <w:rsid w:val="00FE11FF"/>
    <w:rsid w:val="00FF07A8"/>
    <w:rsid w:val="00FF0880"/>
    <w:rsid w:val="00FF4B98"/>
    <w:rsid w:val="00FF5757"/>
    <w:rsid w:val="00FF619F"/>
    <w:rsid w:val="00FF628F"/>
    <w:rsid w:val="00FF72BB"/>
  </w:rsids>
  <m:mathPr>
    <m:mathFont m:val="Cambria Math"/>
    <m:brkBin m:val="before"/>
    <m:brkBinSub m:val="--"/>
    <m:smallFrac m:val="0"/>
    <m:dispDef/>
    <m:lMargin m:val="0"/>
    <m:rMargin m:val="0"/>
    <m:defJc m:val="centerGroup"/>
    <m:wrapIndent m:val="1440"/>
    <m:intLim m:val="subSup"/>
    <m:naryLim m:val="undOvr"/>
  </m:mathPr>
  <w:themeFontLang w:val="en-SG" w:eastAsia="zh-CN" w:bidi="ta-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866083"/>
  <w15:chartTrackingRefBased/>
  <w15:docId w15:val="{3B42E176-2890-4F39-B2CA-2ED527C0B8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SG"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7B2D"/>
    <w:pPr>
      <w:spacing w:after="0" w:line="240" w:lineRule="auto"/>
    </w:pPr>
    <w:rPr>
      <w:rFonts w:ascii="Arial" w:eastAsia="Times New Roman" w:hAnsi="Arial" w:cs="Times New Roman"/>
    </w:rPr>
  </w:style>
  <w:style w:type="paragraph" w:styleId="Heading1">
    <w:name w:val="heading 1"/>
    <w:basedOn w:val="Normal"/>
    <w:next w:val="Normal"/>
    <w:link w:val="Heading1Char"/>
    <w:uiPriority w:val="9"/>
    <w:qFormat/>
    <w:rsid w:val="002411FE"/>
    <w:pPr>
      <w:keepNext/>
      <w:keepLines/>
      <w:spacing w:before="240"/>
      <w:outlineLvl w:val="0"/>
    </w:pPr>
    <w:rPr>
      <w:rFonts w:eastAsiaTheme="majorEastAsia" w:cstheme="majorBidi"/>
      <w:b/>
      <w:color w:val="002060"/>
      <w:sz w:val="24"/>
      <w:szCs w:val="32"/>
    </w:rPr>
  </w:style>
  <w:style w:type="paragraph" w:styleId="Heading2">
    <w:name w:val="heading 2"/>
    <w:basedOn w:val="Normal"/>
    <w:next w:val="Normal"/>
    <w:link w:val="Heading2Char"/>
    <w:uiPriority w:val="9"/>
    <w:unhideWhenUsed/>
    <w:qFormat/>
    <w:rsid w:val="00836AF1"/>
    <w:pPr>
      <w:keepNext/>
      <w:keepLines/>
      <w:spacing w:before="40"/>
      <w:outlineLvl w:val="1"/>
    </w:pPr>
    <w:rPr>
      <w:rFonts w:eastAsiaTheme="majorEastAsia" w:cstheme="majorBidi"/>
      <w:b/>
      <w:color w:val="000000" w:themeColor="text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941EB"/>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941EB"/>
    <w:pPr>
      <w:tabs>
        <w:tab w:val="center" w:pos="4513"/>
        <w:tab w:val="right" w:pos="9026"/>
      </w:tabs>
    </w:pPr>
  </w:style>
  <w:style w:type="character" w:customStyle="1" w:styleId="HeaderChar">
    <w:name w:val="Header Char"/>
    <w:basedOn w:val="DefaultParagraphFont"/>
    <w:link w:val="Header"/>
    <w:uiPriority w:val="99"/>
    <w:rsid w:val="008941EB"/>
    <w:rPr>
      <w:rFonts w:ascii="Calibri" w:eastAsia="Times New Roman" w:hAnsi="Calibri" w:cs="Times New Roman"/>
    </w:rPr>
  </w:style>
  <w:style w:type="paragraph" w:styleId="Footer">
    <w:name w:val="footer"/>
    <w:basedOn w:val="Normal"/>
    <w:link w:val="FooterChar"/>
    <w:uiPriority w:val="99"/>
    <w:unhideWhenUsed/>
    <w:rsid w:val="008941EB"/>
    <w:pPr>
      <w:tabs>
        <w:tab w:val="center" w:pos="4513"/>
        <w:tab w:val="right" w:pos="9026"/>
      </w:tabs>
    </w:pPr>
  </w:style>
  <w:style w:type="character" w:customStyle="1" w:styleId="FooterChar">
    <w:name w:val="Footer Char"/>
    <w:basedOn w:val="DefaultParagraphFont"/>
    <w:link w:val="Footer"/>
    <w:uiPriority w:val="99"/>
    <w:rsid w:val="008941EB"/>
    <w:rPr>
      <w:rFonts w:ascii="Calibri" w:eastAsia="Times New Roman" w:hAnsi="Calibri" w:cs="Times New Roman"/>
    </w:rPr>
  </w:style>
  <w:style w:type="paragraph" w:styleId="BalloonText">
    <w:name w:val="Balloon Text"/>
    <w:basedOn w:val="Normal"/>
    <w:link w:val="BalloonTextChar"/>
    <w:uiPriority w:val="99"/>
    <w:semiHidden/>
    <w:unhideWhenUsed/>
    <w:rsid w:val="009A796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A796D"/>
    <w:rPr>
      <w:rFonts w:ascii="Segoe UI" w:eastAsia="Times New Roman" w:hAnsi="Segoe UI" w:cs="Segoe UI"/>
      <w:sz w:val="18"/>
      <w:szCs w:val="18"/>
    </w:rPr>
  </w:style>
  <w:style w:type="paragraph" w:styleId="Title">
    <w:name w:val="Title"/>
    <w:basedOn w:val="Normal"/>
    <w:next w:val="Normal"/>
    <w:link w:val="TitleChar"/>
    <w:uiPriority w:val="10"/>
    <w:qFormat/>
    <w:rsid w:val="002411FE"/>
    <w:pPr>
      <w:contextualSpacing/>
    </w:pPr>
    <w:rPr>
      <w:rFonts w:eastAsiaTheme="majorEastAsia" w:cstheme="majorBidi"/>
      <w:b/>
      <w:color w:val="002060"/>
      <w:spacing w:val="-10"/>
      <w:kern w:val="28"/>
      <w:sz w:val="36"/>
      <w:szCs w:val="56"/>
    </w:rPr>
  </w:style>
  <w:style w:type="character" w:customStyle="1" w:styleId="TitleChar">
    <w:name w:val="Title Char"/>
    <w:basedOn w:val="DefaultParagraphFont"/>
    <w:link w:val="Title"/>
    <w:uiPriority w:val="10"/>
    <w:rsid w:val="002411FE"/>
    <w:rPr>
      <w:rFonts w:ascii="Arial" w:eastAsiaTheme="majorEastAsia" w:hAnsi="Arial" w:cstheme="majorBidi"/>
      <w:b/>
      <w:color w:val="002060"/>
      <w:spacing w:val="-10"/>
      <w:kern w:val="28"/>
      <w:sz w:val="36"/>
      <w:szCs w:val="56"/>
    </w:rPr>
  </w:style>
  <w:style w:type="character" w:customStyle="1" w:styleId="Heading1Char">
    <w:name w:val="Heading 1 Char"/>
    <w:basedOn w:val="DefaultParagraphFont"/>
    <w:link w:val="Heading1"/>
    <w:uiPriority w:val="9"/>
    <w:rsid w:val="002411FE"/>
    <w:rPr>
      <w:rFonts w:ascii="Arial" w:eastAsiaTheme="majorEastAsia" w:hAnsi="Arial" w:cstheme="majorBidi"/>
      <w:b/>
      <w:color w:val="002060"/>
      <w:sz w:val="24"/>
      <w:szCs w:val="32"/>
    </w:rPr>
  </w:style>
  <w:style w:type="paragraph" w:styleId="ListParagraph">
    <w:name w:val="List Paragraph"/>
    <w:aliases w:val="Noise heading,alphabet listing,RUS List,Number abc,a List Paragraph,Cell bullets,Credits,En tête 1,Text,List Paragraph1,Normal 1,Rec para,MICA-List,Colorful List - Accent 11,Dot pt,No Spacing1,List Paragraph Char Char Char,Indicator Text"/>
    <w:basedOn w:val="Normal"/>
    <w:link w:val="ListParagraphChar"/>
    <w:uiPriority w:val="34"/>
    <w:qFormat/>
    <w:rsid w:val="00A3248C"/>
    <w:pPr>
      <w:ind w:left="720"/>
      <w:contextualSpacing/>
    </w:pPr>
  </w:style>
  <w:style w:type="paragraph" w:styleId="FootnoteText">
    <w:name w:val="footnote text"/>
    <w:basedOn w:val="Normal"/>
    <w:link w:val="FootnoteTextChar"/>
    <w:uiPriority w:val="99"/>
    <w:semiHidden/>
    <w:unhideWhenUsed/>
    <w:rsid w:val="00C61EB2"/>
    <w:rPr>
      <w:sz w:val="20"/>
      <w:szCs w:val="20"/>
    </w:rPr>
  </w:style>
  <w:style w:type="character" w:customStyle="1" w:styleId="FootnoteTextChar">
    <w:name w:val="Footnote Text Char"/>
    <w:basedOn w:val="DefaultParagraphFont"/>
    <w:link w:val="FootnoteText"/>
    <w:uiPriority w:val="99"/>
    <w:semiHidden/>
    <w:rsid w:val="00C61EB2"/>
    <w:rPr>
      <w:rFonts w:ascii="Arial" w:eastAsia="Times New Roman" w:hAnsi="Arial" w:cs="Times New Roman"/>
      <w:sz w:val="20"/>
      <w:szCs w:val="20"/>
    </w:rPr>
  </w:style>
  <w:style w:type="character" w:styleId="FootnoteReference">
    <w:name w:val="footnote reference"/>
    <w:basedOn w:val="DefaultParagraphFont"/>
    <w:uiPriority w:val="99"/>
    <w:semiHidden/>
    <w:unhideWhenUsed/>
    <w:rsid w:val="00C61EB2"/>
    <w:rPr>
      <w:vertAlign w:val="superscript"/>
    </w:rPr>
  </w:style>
  <w:style w:type="character" w:customStyle="1" w:styleId="Heading2Char">
    <w:name w:val="Heading 2 Char"/>
    <w:basedOn w:val="DefaultParagraphFont"/>
    <w:link w:val="Heading2"/>
    <w:uiPriority w:val="9"/>
    <w:rsid w:val="00836AF1"/>
    <w:rPr>
      <w:rFonts w:ascii="Arial" w:eastAsiaTheme="majorEastAsia" w:hAnsi="Arial" w:cstheme="majorBidi"/>
      <w:b/>
      <w:color w:val="000000" w:themeColor="text1"/>
      <w:szCs w:val="26"/>
    </w:rPr>
  </w:style>
  <w:style w:type="character" w:styleId="Hyperlink">
    <w:name w:val="Hyperlink"/>
    <w:basedOn w:val="DefaultParagraphFont"/>
    <w:uiPriority w:val="99"/>
    <w:unhideWhenUsed/>
    <w:rsid w:val="00A06280"/>
    <w:rPr>
      <w:color w:val="0563C1" w:themeColor="hyperlink"/>
      <w:u w:val="single"/>
    </w:rPr>
  </w:style>
  <w:style w:type="character" w:styleId="UnresolvedMention">
    <w:name w:val="Unresolved Mention"/>
    <w:basedOn w:val="DefaultParagraphFont"/>
    <w:uiPriority w:val="99"/>
    <w:semiHidden/>
    <w:unhideWhenUsed/>
    <w:rsid w:val="00A06280"/>
    <w:rPr>
      <w:color w:val="605E5C"/>
      <w:shd w:val="clear" w:color="auto" w:fill="E1DFDD"/>
    </w:rPr>
  </w:style>
  <w:style w:type="character" w:styleId="CommentReference">
    <w:name w:val="annotation reference"/>
    <w:basedOn w:val="DefaultParagraphFont"/>
    <w:uiPriority w:val="99"/>
    <w:semiHidden/>
    <w:unhideWhenUsed/>
    <w:rsid w:val="005130DE"/>
    <w:rPr>
      <w:sz w:val="16"/>
      <w:szCs w:val="16"/>
    </w:rPr>
  </w:style>
  <w:style w:type="paragraph" w:styleId="CommentText">
    <w:name w:val="annotation text"/>
    <w:basedOn w:val="Normal"/>
    <w:link w:val="CommentTextChar"/>
    <w:uiPriority w:val="99"/>
    <w:unhideWhenUsed/>
    <w:rsid w:val="005130DE"/>
    <w:rPr>
      <w:sz w:val="20"/>
      <w:szCs w:val="20"/>
    </w:rPr>
  </w:style>
  <w:style w:type="character" w:customStyle="1" w:styleId="CommentTextChar">
    <w:name w:val="Comment Text Char"/>
    <w:basedOn w:val="DefaultParagraphFont"/>
    <w:link w:val="CommentText"/>
    <w:uiPriority w:val="99"/>
    <w:rsid w:val="005130DE"/>
    <w:rPr>
      <w:rFonts w:ascii="Arial" w:eastAsia="Times New Roman" w:hAnsi="Arial" w:cs="Times New Roman"/>
      <w:sz w:val="20"/>
      <w:szCs w:val="20"/>
    </w:rPr>
  </w:style>
  <w:style w:type="paragraph" w:styleId="CommentSubject">
    <w:name w:val="annotation subject"/>
    <w:basedOn w:val="CommentText"/>
    <w:next w:val="CommentText"/>
    <w:link w:val="CommentSubjectChar"/>
    <w:uiPriority w:val="99"/>
    <w:semiHidden/>
    <w:unhideWhenUsed/>
    <w:rsid w:val="005130DE"/>
    <w:rPr>
      <w:b/>
      <w:bCs/>
    </w:rPr>
  </w:style>
  <w:style w:type="character" w:customStyle="1" w:styleId="CommentSubjectChar">
    <w:name w:val="Comment Subject Char"/>
    <w:basedOn w:val="CommentTextChar"/>
    <w:link w:val="CommentSubject"/>
    <w:uiPriority w:val="99"/>
    <w:semiHidden/>
    <w:rsid w:val="005130DE"/>
    <w:rPr>
      <w:rFonts w:ascii="Arial" w:eastAsia="Times New Roman" w:hAnsi="Arial" w:cs="Times New Roman"/>
      <w:b/>
      <w:bCs/>
      <w:sz w:val="20"/>
      <w:szCs w:val="20"/>
    </w:rPr>
  </w:style>
  <w:style w:type="paragraph" w:styleId="NoSpacing">
    <w:name w:val="No Spacing"/>
    <w:basedOn w:val="Normal"/>
    <w:uiPriority w:val="1"/>
    <w:qFormat/>
    <w:rsid w:val="00F4122E"/>
    <w:rPr>
      <w:rFonts w:ascii="Calibri" w:eastAsia="Yu Gothic" w:hAnsi="Calibri" w:cs="Calibri"/>
      <w:lang w:val="en-GB" w:eastAsia="ja-JP"/>
    </w:rPr>
  </w:style>
  <w:style w:type="character" w:styleId="FollowedHyperlink">
    <w:name w:val="FollowedHyperlink"/>
    <w:basedOn w:val="DefaultParagraphFont"/>
    <w:uiPriority w:val="99"/>
    <w:semiHidden/>
    <w:unhideWhenUsed/>
    <w:rsid w:val="00C8580C"/>
    <w:rPr>
      <w:color w:val="954F72" w:themeColor="followedHyperlink"/>
      <w:u w:val="single"/>
    </w:rPr>
  </w:style>
  <w:style w:type="paragraph" w:styleId="EndnoteText">
    <w:name w:val="endnote text"/>
    <w:basedOn w:val="Normal"/>
    <w:link w:val="EndnoteTextChar"/>
    <w:uiPriority w:val="99"/>
    <w:semiHidden/>
    <w:unhideWhenUsed/>
    <w:rsid w:val="0017122B"/>
    <w:rPr>
      <w:sz w:val="20"/>
      <w:szCs w:val="20"/>
    </w:rPr>
  </w:style>
  <w:style w:type="character" w:customStyle="1" w:styleId="EndnoteTextChar">
    <w:name w:val="Endnote Text Char"/>
    <w:basedOn w:val="DefaultParagraphFont"/>
    <w:link w:val="EndnoteText"/>
    <w:uiPriority w:val="99"/>
    <w:semiHidden/>
    <w:rsid w:val="0017122B"/>
    <w:rPr>
      <w:rFonts w:ascii="Arial" w:eastAsia="Times New Roman" w:hAnsi="Arial" w:cs="Times New Roman"/>
      <w:sz w:val="20"/>
      <w:szCs w:val="20"/>
    </w:rPr>
  </w:style>
  <w:style w:type="character" w:styleId="EndnoteReference">
    <w:name w:val="endnote reference"/>
    <w:basedOn w:val="DefaultParagraphFont"/>
    <w:uiPriority w:val="99"/>
    <w:semiHidden/>
    <w:unhideWhenUsed/>
    <w:rsid w:val="0017122B"/>
    <w:rPr>
      <w:vertAlign w:val="superscript"/>
    </w:rPr>
  </w:style>
  <w:style w:type="character" w:customStyle="1" w:styleId="ListParagraphChar">
    <w:name w:val="List Paragraph Char"/>
    <w:aliases w:val="Noise heading Char,alphabet listing Char,RUS List Char,Number abc Char,a List Paragraph Char,Cell bullets Char,Credits Char,En tête 1 Char,Text Char,List Paragraph1 Char,Normal 1 Char,Rec para Char,MICA-List Char,Dot pt Char"/>
    <w:basedOn w:val="DefaultParagraphFont"/>
    <w:link w:val="ListParagraph"/>
    <w:uiPriority w:val="34"/>
    <w:qFormat/>
    <w:locked/>
    <w:rsid w:val="00606212"/>
    <w:rPr>
      <w:rFonts w:ascii="Arial" w:eastAsia="Times New Roman" w:hAnsi="Arial" w:cs="Times New Roman"/>
    </w:rPr>
  </w:style>
  <w:style w:type="paragraph" w:styleId="Revision">
    <w:name w:val="Revision"/>
    <w:hidden/>
    <w:uiPriority w:val="99"/>
    <w:semiHidden/>
    <w:rsid w:val="002C4A70"/>
    <w:pPr>
      <w:spacing w:after="0" w:line="240" w:lineRule="auto"/>
    </w:pPr>
    <w:rPr>
      <w:rFonts w:ascii="Arial" w:eastAsia="Times New Roman" w:hAnsi="Arial" w:cs="Times New Roman"/>
    </w:rPr>
  </w:style>
  <w:style w:type="table" w:customStyle="1" w:styleId="TableGrid1">
    <w:name w:val="Table Grid1"/>
    <w:basedOn w:val="TableNormal"/>
    <w:next w:val="TableGrid"/>
    <w:uiPriority w:val="39"/>
    <w:rsid w:val="005C727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Normal"/>
    <w:rsid w:val="00676520"/>
    <w:pPr>
      <w:spacing w:before="100" w:beforeAutospacing="1" w:after="100" w:afterAutospacing="1"/>
    </w:pPr>
    <w:rPr>
      <w:rFonts w:ascii="Times New Roman" w:hAnsi="Times New Roman"/>
      <w:sz w:val="24"/>
      <w:szCs w:val="24"/>
      <w:lang w:eastAsia="en-SG"/>
    </w:rPr>
  </w:style>
  <w:style w:type="character" w:customStyle="1" w:styleId="cf01">
    <w:name w:val="cf01"/>
    <w:basedOn w:val="DefaultParagraphFont"/>
    <w:rsid w:val="00676520"/>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38838">
      <w:bodyDiv w:val="1"/>
      <w:marLeft w:val="0"/>
      <w:marRight w:val="0"/>
      <w:marTop w:val="0"/>
      <w:marBottom w:val="0"/>
      <w:divBdr>
        <w:top w:val="none" w:sz="0" w:space="0" w:color="auto"/>
        <w:left w:val="none" w:sz="0" w:space="0" w:color="auto"/>
        <w:bottom w:val="none" w:sz="0" w:space="0" w:color="auto"/>
        <w:right w:val="none" w:sz="0" w:space="0" w:color="auto"/>
      </w:divBdr>
    </w:div>
    <w:div w:id="246965244">
      <w:bodyDiv w:val="1"/>
      <w:marLeft w:val="0"/>
      <w:marRight w:val="0"/>
      <w:marTop w:val="0"/>
      <w:marBottom w:val="0"/>
      <w:divBdr>
        <w:top w:val="none" w:sz="0" w:space="0" w:color="auto"/>
        <w:left w:val="none" w:sz="0" w:space="0" w:color="auto"/>
        <w:bottom w:val="none" w:sz="0" w:space="0" w:color="auto"/>
        <w:right w:val="none" w:sz="0" w:space="0" w:color="auto"/>
      </w:divBdr>
    </w:div>
    <w:div w:id="323974574">
      <w:bodyDiv w:val="1"/>
      <w:marLeft w:val="0"/>
      <w:marRight w:val="0"/>
      <w:marTop w:val="0"/>
      <w:marBottom w:val="0"/>
      <w:divBdr>
        <w:top w:val="none" w:sz="0" w:space="0" w:color="auto"/>
        <w:left w:val="none" w:sz="0" w:space="0" w:color="auto"/>
        <w:bottom w:val="none" w:sz="0" w:space="0" w:color="auto"/>
        <w:right w:val="none" w:sz="0" w:space="0" w:color="auto"/>
      </w:divBdr>
      <w:divsChild>
        <w:div w:id="26805449">
          <w:marLeft w:val="994"/>
          <w:marRight w:val="0"/>
          <w:marTop w:val="100"/>
          <w:marBottom w:val="0"/>
          <w:divBdr>
            <w:top w:val="none" w:sz="0" w:space="0" w:color="auto"/>
            <w:left w:val="none" w:sz="0" w:space="0" w:color="auto"/>
            <w:bottom w:val="none" w:sz="0" w:space="0" w:color="auto"/>
            <w:right w:val="none" w:sz="0" w:space="0" w:color="auto"/>
          </w:divBdr>
        </w:div>
        <w:div w:id="638610603">
          <w:marLeft w:val="994"/>
          <w:marRight w:val="0"/>
          <w:marTop w:val="100"/>
          <w:marBottom w:val="0"/>
          <w:divBdr>
            <w:top w:val="none" w:sz="0" w:space="0" w:color="auto"/>
            <w:left w:val="none" w:sz="0" w:space="0" w:color="auto"/>
            <w:bottom w:val="none" w:sz="0" w:space="0" w:color="auto"/>
            <w:right w:val="none" w:sz="0" w:space="0" w:color="auto"/>
          </w:divBdr>
        </w:div>
        <w:div w:id="718557296">
          <w:marLeft w:val="994"/>
          <w:marRight w:val="0"/>
          <w:marTop w:val="100"/>
          <w:marBottom w:val="0"/>
          <w:divBdr>
            <w:top w:val="none" w:sz="0" w:space="0" w:color="auto"/>
            <w:left w:val="none" w:sz="0" w:space="0" w:color="auto"/>
            <w:bottom w:val="none" w:sz="0" w:space="0" w:color="auto"/>
            <w:right w:val="none" w:sz="0" w:space="0" w:color="auto"/>
          </w:divBdr>
        </w:div>
        <w:div w:id="1131052569">
          <w:marLeft w:val="994"/>
          <w:marRight w:val="0"/>
          <w:marTop w:val="100"/>
          <w:marBottom w:val="0"/>
          <w:divBdr>
            <w:top w:val="none" w:sz="0" w:space="0" w:color="auto"/>
            <w:left w:val="none" w:sz="0" w:space="0" w:color="auto"/>
            <w:bottom w:val="none" w:sz="0" w:space="0" w:color="auto"/>
            <w:right w:val="none" w:sz="0" w:space="0" w:color="auto"/>
          </w:divBdr>
        </w:div>
      </w:divsChild>
    </w:div>
    <w:div w:id="441926506">
      <w:bodyDiv w:val="1"/>
      <w:marLeft w:val="0"/>
      <w:marRight w:val="0"/>
      <w:marTop w:val="0"/>
      <w:marBottom w:val="0"/>
      <w:divBdr>
        <w:top w:val="none" w:sz="0" w:space="0" w:color="auto"/>
        <w:left w:val="none" w:sz="0" w:space="0" w:color="auto"/>
        <w:bottom w:val="none" w:sz="0" w:space="0" w:color="auto"/>
        <w:right w:val="none" w:sz="0" w:space="0" w:color="auto"/>
      </w:divBdr>
    </w:div>
    <w:div w:id="662196453">
      <w:bodyDiv w:val="1"/>
      <w:marLeft w:val="0"/>
      <w:marRight w:val="0"/>
      <w:marTop w:val="0"/>
      <w:marBottom w:val="0"/>
      <w:divBdr>
        <w:top w:val="none" w:sz="0" w:space="0" w:color="auto"/>
        <w:left w:val="none" w:sz="0" w:space="0" w:color="auto"/>
        <w:bottom w:val="none" w:sz="0" w:space="0" w:color="auto"/>
        <w:right w:val="none" w:sz="0" w:space="0" w:color="auto"/>
      </w:divBdr>
    </w:div>
    <w:div w:id="663630564">
      <w:bodyDiv w:val="1"/>
      <w:marLeft w:val="0"/>
      <w:marRight w:val="0"/>
      <w:marTop w:val="0"/>
      <w:marBottom w:val="0"/>
      <w:divBdr>
        <w:top w:val="none" w:sz="0" w:space="0" w:color="auto"/>
        <w:left w:val="none" w:sz="0" w:space="0" w:color="auto"/>
        <w:bottom w:val="none" w:sz="0" w:space="0" w:color="auto"/>
        <w:right w:val="none" w:sz="0" w:space="0" w:color="auto"/>
      </w:divBdr>
    </w:div>
    <w:div w:id="800809240">
      <w:bodyDiv w:val="1"/>
      <w:marLeft w:val="0"/>
      <w:marRight w:val="0"/>
      <w:marTop w:val="0"/>
      <w:marBottom w:val="0"/>
      <w:divBdr>
        <w:top w:val="none" w:sz="0" w:space="0" w:color="auto"/>
        <w:left w:val="none" w:sz="0" w:space="0" w:color="auto"/>
        <w:bottom w:val="none" w:sz="0" w:space="0" w:color="auto"/>
        <w:right w:val="none" w:sz="0" w:space="0" w:color="auto"/>
      </w:divBdr>
    </w:div>
    <w:div w:id="902912196">
      <w:bodyDiv w:val="1"/>
      <w:marLeft w:val="0"/>
      <w:marRight w:val="0"/>
      <w:marTop w:val="0"/>
      <w:marBottom w:val="0"/>
      <w:divBdr>
        <w:top w:val="none" w:sz="0" w:space="0" w:color="auto"/>
        <w:left w:val="none" w:sz="0" w:space="0" w:color="auto"/>
        <w:bottom w:val="none" w:sz="0" w:space="0" w:color="auto"/>
        <w:right w:val="none" w:sz="0" w:space="0" w:color="auto"/>
      </w:divBdr>
    </w:div>
    <w:div w:id="1032195945">
      <w:bodyDiv w:val="1"/>
      <w:marLeft w:val="0"/>
      <w:marRight w:val="0"/>
      <w:marTop w:val="0"/>
      <w:marBottom w:val="0"/>
      <w:divBdr>
        <w:top w:val="none" w:sz="0" w:space="0" w:color="auto"/>
        <w:left w:val="none" w:sz="0" w:space="0" w:color="auto"/>
        <w:bottom w:val="none" w:sz="0" w:space="0" w:color="auto"/>
        <w:right w:val="none" w:sz="0" w:space="0" w:color="auto"/>
      </w:divBdr>
    </w:div>
    <w:div w:id="1064914658">
      <w:bodyDiv w:val="1"/>
      <w:marLeft w:val="0"/>
      <w:marRight w:val="0"/>
      <w:marTop w:val="0"/>
      <w:marBottom w:val="0"/>
      <w:divBdr>
        <w:top w:val="none" w:sz="0" w:space="0" w:color="auto"/>
        <w:left w:val="none" w:sz="0" w:space="0" w:color="auto"/>
        <w:bottom w:val="none" w:sz="0" w:space="0" w:color="auto"/>
        <w:right w:val="none" w:sz="0" w:space="0" w:color="auto"/>
      </w:divBdr>
    </w:div>
    <w:div w:id="1070155582">
      <w:bodyDiv w:val="1"/>
      <w:marLeft w:val="0"/>
      <w:marRight w:val="0"/>
      <w:marTop w:val="0"/>
      <w:marBottom w:val="0"/>
      <w:divBdr>
        <w:top w:val="none" w:sz="0" w:space="0" w:color="auto"/>
        <w:left w:val="none" w:sz="0" w:space="0" w:color="auto"/>
        <w:bottom w:val="none" w:sz="0" w:space="0" w:color="auto"/>
        <w:right w:val="none" w:sz="0" w:space="0" w:color="auto"/>
      </w:divBdr>
    </w:div>
    <w:div w:id="1099132854">
      <w:bodyDiv w:val="1"/>
      <w:marLeft w:val="0"/>
      <w:marRight w:val="0"/>
      <w:marTop w:val="0"/>
      <w:marBottom w:val="0"/>
      <w:divBdr>
        <w:top w:val="none" w:sz="0" w:space="0" w:color="auto"/>
        <w:left w:val="none" w:sz="0" w:space="0" w:color="auto"/>
        <w:bottom w:val="none" w:sz="0" w:space="0" w:color="auto"/>
        <w:right w:val="none" w:sz="0" w:space="0" w:color="auto"/>
      </w:divBdr>
    </w:div>
    <w:div w:id="1295873234">
      <w:bodyDiv w:val="1"/>
      <w:marLeft w:val="0"/>
      <w:marRight w:val="0"/>
      <w:marTop w:val="0"/>
      <w:marBottom w:val="0"/>
      <w:divBdr>
        <w:top w:val="none" w:sz="0" w:space="0" w:color="auto"/>
        <w:left w:val="none" w:sz="0" w:space="0" w:color="auto"/>
        <w:bottom w:val="none" w:sz="0" w:space="0" w:color="auto"/>
        <w:right w:val="none" w:sz="0" w:space="0" w:color="auto"/>
      </w:divBdr>
      <w:divsChild>
        <w:div w:id="719936254">
          <w:marLeft w:val="446"/>
          <w:marRight w:val="0"/>
          <w:marTop w:val="0"/>
          <w:marBottom w:val="0"/>
          <w:divBdr>
            <w:top w:val="none" w:sz="0" w:space="0" w:color="auto"/>
            <w:left w:val="none" w:sz="0" w:space="0" w:color="auto"/>
            <w:bottom w:val="none" w:sz="0" w:space="0" w:color="auto"/>
            <w:right w:val="none" w:sz="0" w:space="0" w:color="auto"/>
          </w:divBdr>
        </w:div>
        <w:div w:id="790974397">
          <w:marLeft w:val="446"/>
          <w:marRight w:val="0"/>
          <w:marTop w:val="0"/>
          <w:marBottom w:val="0"/>
          <w:divBdr>
            <w:top w:val="none" w:sz="0" w:space="0" w:color="auto"/>
            <w:left w:val="none" w:sz="0" w:space="0" w:color="auto"/>
            <w:bottom w:val="none" w:sz="0" w:space="0" w:color="auto"/>
            <w:right w:val="none" w:sz="0" w:space="0" w:color="auto"/>
          </w:divBdr>
        </w:div>
        <w:div w:id="1275017856">
          <w:marLeft w:val="446"/>
          <w:marRight w:val="0"/>
          <w:marTop w:val="0"/>
          <w:marBottom w:val="0"/>
          <w:divBdr>
            <w:top w:val="none" w:sz="0" w:space="0" w:color="auto"/>
            <w:left w:val="none" w:sz="0" w:space="0" w:color="auto"/>
            <w:bottom w:val="none" w:sz="0" w:space="0" w:color="auto"/>
            <w:right w:val="none" w:sz="0" w:space="0" w:color="auto"/>
          </w:divBdr>
        </w:div>
        <w:div w:id="1486898771">
          <w:marLeft w:val="446"/>
          <w:marRight w:val="0"/>
          <w:marTop w:val="0"/>
          <w:marBottom w:val="0"/>
          <w:divBdr>
            <w:top w:val="none" w:sz="0" w:space="0" w:color="auto"/>
            <w:left w:val="none" w:sz="0" w:space="0" w:color="auto"/>
            <w:bottom w:val="none" w:sz="0" w:space="0" w:color="auto"/>
            <w:right w:val="none" w:sz="0" w:space="0" w:color="auto"/>
          </w:divBdr>
        </w:div>
        <w:div w:id="1601525531">
          <w:marLeft w:val="446"/>
          <w:marRight w:val="0"/>
          <w:marTop w:val="0"/>
          <w:marBottom w:val="0"/>
          <w:divBdr>
            <w:top w:val="none" w:sz="0" w:space="0" w:color="auto"/>
            <w:left w:val="none" w:sz="0" w:space="0" w:color="auto"/>
            <w:bottom w:val="none" w:sz="0" w:space="0" w:color="auto"/>
            <w:right w:val="none" w:sz="0" w:space="0" w:color="auto"/>
          </w:divBdr>
        </w:div>
        <w:div w:id="1848901754">
          <w:marLeft w:val="446"/>
          <w:marRight w:val="0"/>
          <w:marTop w:val="0"/>
          <w:marBottom w:val="0"/>
          <w:divBdr>
            <w:top w:val="none" w:sz="0" w:space="0" w:color="auto"/>
            <w:left w:val="none" w:sz="0" w:space="0" w:color="auto"/>
            <w:bottom w:val="none" w:sz="0" w:space="0" w:color="auto"/>
            <w:right w:val="none" w:sz="0" w:space="0" w:color="auto"/>
          </w:divBdr>
        </w:div>
      </w:divsChild>
    </w:div>
    <w:div w:id="1326473934">
      <w:bodyDiv w:val="1"/>
      <w:marLeft w:val="0"/>
      <w:marRight w:val="0"/>
      <w:marTop w:val="0"/>
      <w:marBottom w:val="0"/>
      <w:divBdr>
        <w:top w:val="none" w:sz="0" w:space="0" w:color="auto"/>
        <w:left w:val="none" w:sz="0" w:space="0" w:color="auto"/>
        <w:bottom w:val="none" w:sz="0" w:space="0" w:color="auto"/>
        <w:right w:val="none" w:sz="0" w:space="0" w:color="auto"/>
      </w:divBdr>
    </w:div>
    <w:div w:id="1540126004">
      <w:bodyDiv w:val="1"/>
      <w:marLeft w:val="0"/>
      <w:marRight w:val="0"/>
      <w:marTop w:val="0"/>
      <w:marBottom w:val="0"/>
      <w:divBdr>
        <w:top w:val="none" w:sz="0" w:space="0" w:color="auto"/>
        <w:left w:val="none" w:sz="0" w:space="0" w:color="auto"/>
        <w:bottom w:val="none" w:sz="0" w:space="0" w:color="auto"/>
        <w:right w:val="none" w:sz="0" w:space="0" w:color="auto"/>
      </w:divBdr>
    </w:div>
    <w:div w:id="1577201134">
      <w:bodyDiv w:val="1"/>
      <w:marLeft w:val="0"/>
      <w:marRight w:val="0"/>
      <w:marTop w:val="0"/>
      <w:marBottom w:val="0"/>
      <w:divBdr>
        <w:top w:val="none" w:sz="0" w:space="0" w:color="auto"/>
        <w:left w:val="none" w:sz="0" w:space="0" w:color="auto"/>
        <w:bottom w:val="none" w:sz="0" w:space="0" w:color="auto"/>
        <w:right w:val="none" w:sz="0" w:space="0" w:color="auto"/>
      </w:divBdr>
    </w:div>
    <w:div w:id="1616868463">
      <w:bodyDiv w:val="1"/>
      <w:marLeft w:val="0"/>
      <w:marRight w:val="0"/>
      <w:marTop w:val="0"/>
      <w:marBottom w:val="0"/>
      <w:divBdr>
        <w:top w:val="none" w:sz="0" w:space="0" w:color="auto"/>
        <w:left w:val="none" w:sz="0" w:space="0" w:color="auto"/>
        <w:bottom w:val="none" w:sz="0" w:space="0" w:color="auto"/>
        <w:right w:val="none" w:sz="0" w:space="0" w:color="auto"/>
      </w:divBdr>
    </w:div>
    <w:div w:id="1617954091">
      <w:bodyDiv w:val="1"/>
      <w:marLeft w:val="0"/>
      <w:marRight w:val="0"/>
      <w:marTop w:val="0"/>
      <w:marBottom w:val="0"/>
      <w:divBdr>
        <w:top w:val="none" w:sz="0" w:space="0" w:color="auto"/>
        <w:left w:val="none" w:sz="0" w:space="0" w:color="auto"/>
        <w:bottom w:val="none" w:sz="0" w:space="0" w:color="auto"/>
        <w:right w:val="none" w:sz="0" w:space="0" w:color="auto"/>
      </w:divBdr>
    </w:div>
    <w:div w:id="1641378400">
      <w:bodyDiv w:val="1"/>
      <w:marLeft w:val="0"/>
      <w:marRight w:val="0"/>
      <w:marTop w:val="0"/>
      <w:marBottom w:val="0"/>
      <w:divBdr>
        <w:top w:val="none" w:sz="0" w:space="0" w:color="auto"/>
        <w:left w:val="none" w:sz="0" w:space="0" w:color="auto"/>
        <w:bottom w:val="none" w:sz="0" w:space="0" w:color="auto"/>
        <w:right w:val="none" w:sz="0" w:space="0" w:color="auto"/>
      </w:divBdr>
      <w:divsChild>
        <w:div w:id="134953228">
          <w:marLeft w:val="446"/>
          <w:marRight w:val="0"/>
          <w:marTop w:val="0"/>
          <w:marBottom w:val="0"/>
          <w:divBdr>
            <w:top w:val="none" w:sz="0" w:space="0" w:color="auto"/>
            <w:left w:val="none" w:sz="0" w:space="0" w:color="auto"/>
            <w:bottom w:val="none" w:sz="0" w:space="0" w:color="auto"/>
            <w:right w:val="none" w:sz="0" w:space="0" w:color="auto"/>
          </w:divBdr>
        </w:div>
        <w:div w:id="1218930031">
          <w:marLeft w:val="446"/>
          <w:marRight w:val="0"/>
          <w:marTop w:val="0"/>
          <w:marBottom w:val="0"/>
          <w:divBdr>
            <w:top w:val="none" w:sz="0" w:space="0" w:color="auto"/>
            <w:left w:val="none" w:sz="0" w:space="0" w:color="auto"/>
            <w:bottom w:val="none" w:sz="0" w:space="0" w:color="auto"/>
            <w:right w:val="none" w:sz="0" w:space="0" w:color="auto"/>
          </w:divBdr>
        </w:div>
        <w:div w:id="1334334402">
          <w:marLeft w:val="446"/>
          <w:marRight w:val="0"/>
          <w:marTop w:val="0"/>
          <w:marBottom w:val="0"/>
          <w:divBdr>
            <w:top w:val="none" w:sz="0" w:space="0" w:color="auto"/>
            <w:left w:val="none" w:sz="0" w:space="0" w:color="auto"/>
            <w:bottom w:val="none" w:sz="0" w:space="0" w:color="auto"/>
            <w:right w:val="none" w:sz="0" w:space="0" w:color="auto"/>
          </w:divBdr>
        </w:div>
        <w:div w:id="1405109854">
          <w:marLeft w:val="446"/>
          <w:marRight w:val="0"/>
          <w:marTop w:val="0"/>
          <w:marBottom w:val="0"/>
          <w:divBdr>
            <w:top w:val="none" w:sz="0" w:space="0" w:color="auto"/>
            <w:left w:val="none" w:sz="0" w:space="0" w:color="auto"/>
            <w:bottom w:val="none" w:sz="0" w:space="0" w:color="auto"/>
            <w:right w:val="none" w:sz="0" w:space="0" w:color="auto"/>
          </w:divBdr>
        </w:div>
        <w:div w:id="1554536003">
          <w:marLeft w:val="446"/>
          <w:marRight w:val="0"/>
          <w:marTop w:val="0"/>
          <w:marBottom w:val="0"/>
          <w:divBdr>
            <w:top w:val="none" w:sz="0" w:space="0" w:color="auto"/>
            <w:left w:val="none" w:sz="0" w:space="0" w:color="auto"/>
            <w:bottom w:val="none" w:sz="0" w:space="0" w:color="auto"/>
            <w:right w:val="none" w:sz="0" w:space="0" w:color="auto"/>
          </w:divBdr>
        </w:div>
        <w:div w:id="1927610955">
          <w:marLeft w:val="446"/>
          <w:marRight w:val="0"/>
          <w:marTop w:val="0"/>
          <w:marBottom w:val="0"/>
          <w:divBdr>
            <w:top w:val="none" w:sz="0" w:space="0" w:color="auto"/>
            <w:left w:val="none" w:sz="0" w:space="0" w:color="auto"/>
            <w:bottom w:val="none" w:sz="0" w:space="0" w:color="auto"/>
            <w:right w:val="none" w:sz="0" w:space="0" w:color="auto"/>
          </w:divBdr>
        </w:div>
      </w:divsChild>
    </w:div>
    <w:div w:id="1673752524">
      <w:bodyDiv w:val="1"/>
      <w:marLeft w:val="0"/>
      <w:marRight w:val="0"/>
      <w:marTop w:val="0"/>
      <w:marBottom w:val="0"/>
      <w:divBdr>
        <w:top w:val="none" w:sz="0" w:space="0" w:color="auto"/>
        <w:left w:val="none" w:sz="0" w:space="0" w:color="auto"/>
        <w:bottom w:val="none" w:sz="0" w:space="0" w:color="auto"/>
        <w:right w:val="none" w:sz="0" w:space="0" w:color="auto"/>
      </w:divBdr>
    </w:div>
    <w:div w:id="1696032036">
      <w:bodyDiv w:val="1"/>
      <w:marLeft w:val="0"/>
      <w:marRight w:val="0"/>
      <w:marTop w:val="0"/>
      <w:marBottom w:val="0"/>
      <w:divBdr>
        <w:top w:val="none" w:sz="0" w:space="0" w:color="auto"/>
        <w:left w:val="none" w:sz="0" w:space="0" w:color="auto"/>
        <w:bottom w:val="none" w:sz="0" w:space="0" w:color="auto"/>
        <w:right w:val="none" w:sz="0" w:space="0" w:color="auto"/>
      </w:divBdr>
    </w:div>
    <w:div w:id="1884557912">
      <w:bodyDiv w:val="1"/>
      <w:marLeft w:val="0"/>
      <w:marRight w:val="0"/>
      <w:marTop w:val="0"/>
      <w:marBottom w:val="0"/>
      <w:divBdr>
        <w:top w:val="none" w:sz="0" w:space="0" w:color="auto"/>
        <w:left w:val="none" w:sz="0" w:space="0" w:color="auto"/>
        <w:bottom w:val="none" w:sz="0" w:space="0" w:color="auto"/>
        <w:right w:val="none" w:sz="0" w:space="0" w:color="auto"/>
      </w:divBdr>
    </w:div>
    <w:div w:id="1934362863">
      <w:bodyDiv w:val="1"/>
      <w:marLeft w:val="0"/>
      <w:marRight w:val="0"/>
      <w:marTop w:val="0"/>
      <w:marBottom w:val="0"/>
      <w:divBdr>
        <w:top w:val="none" w:sz="0" w:space="0" w:color="auto"/>
        <w:left w:val="none" w:sz="0" w:space="0" w:color="auto"/>
        <w:bottom w:val="none" w:sz="0" w:space="0" w:color="auto"/>
        <w:right w:val="none" w:sz="0" w:space="0" w:color="auto"/>
      </w:divBdr>
    </w:div>
    <w:div w:id="1989825657">
      <w:bodyDiv w:val="1"/>
      <w:marLeft w:val="0"/>
      <w:marRight w:val="0"/>
      <w:marTop w:val="0"/>
      <w:marBottom w:val="0"/>
      <w:divBdr>
        <w:top w:val="none" w:sz="0" w:space="0" w:color="auto"/>
        <w:left w:val="none" w:sz="0" w:space="0" w:color="auto"/>
        <w:bottom w:val="none" w:sz="0" w:space="0" w:color="auto"/>
        <w:right w:val="none" w:sz="0" w:space="0" w:color="auto"/>
      </w:divBdr>
    </w:div>
    <w:div w:id="2012025146">
      <w:bodyDiv w:val="1"/>
      <w:marLeft w:val="0"/>
      <w:marRight w:val="0"/>
      <w:marTop w:val="0"/>
      <w:marBottom w:val="0"/>
      <w:divBdr>
        <w:top w:val="none" w:sz="0" w:space="0" w:color="auto"/>
        <w:left w:val="none" w:sz="0" w:space="0" w:color="auto"/>
        <w:bottom w:val="none" w:sz="0" w:space="0" w:color="auto"/>
        <w:right w:val="none" w:sz="0" w:space="0" w:color="auto"/>
      </w:divBdr>
    </w:div>
    <w:div w:id="2128815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docx"/><Relationship Id="rId18" Type="http://schemas.openxmlformats.org/officeDocument/2006/relationships/image" Target="media/image5.jpeg"/><Relationship Id="rId26" Type="http://schemas.openxmlformats.org/officeDocument/2006/relationships/oleObject" Target="embeddings/oleObject6.bin"/><Relationship Id="rId39" Type="http://schemas.openxmlformats.org/officeDocument/2006/relationships/oleObject" Target="embeddings/oleObject12.bin"/><Relationship Id="rId21" Type="http://schemas.openxmlformats.org/officeDocument/2006/relationships/image" Target="media/image7.jpeg"/><Relationship Id="rId34" Type="http://schemas.openxmlformats.org/officeDocument/2006/relationships/oleObject" Target="embeddings/oleObject10.bin"/><Relationship Id="rId42" Type="http://schemas.openxmlformats.org/officeDocument/2006/relationships/hyperlink" Target="https://www.straitstimes.com/singapore/consumer/surgical-masks-vaccines-among-counterfeit-goods-on-the-rise-online" TargetMode="External"/><Relationship Id="rId47" Type="http://schemas.openxmlformats.org/officeDocument/2006/relationships/package" Target="embeddings/Microsoft_Word_Document1.docx"/><Relationship Id="rId50" Type="http://schemas.openxmlformats.org/officeDocument/2006/relationships/image" Target="media/image20.emf"/><Relationship Id="rId55" Type="http://schemas.openxmlformats.org/officeDocument/2006/relationships/hyperlink" Target="mailto:COVID_Vaccination_Ops@moh.gov.sg" TargetMode="External"/><Relationship Id="rId63"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image" Target="media/image11.emf"/><Relationship Id="rId11" Type="http://schemas.openxmlformats.org/officeDocument/2006/relationships/oleObject" Target="embeddings/oleObject1.bin"/><Relationship Id="rId24" Type="http://schemas.openxmlformats.org/officeDocument/2006/relationships/oleObject" Target="embeddings/oleObject5.bin"/><Relationship Id="rId32" Type="http://schemas.openxmlformats.org/officeDocument/2006/relationships/oleObject" Target="embeddings/oleObject9.bin"/><Relationship Id="rId37" Type="http://schemas.openxmlformats.org/officeDocument/2006/relationships/oleObject" Target="embeddings/oleObject11.bin"/><Relationship Id="rId40" Type="http://schemas.openxmlformats.org/officeDocument/2006/relationships/image" Target="media/image16.emf"/><Relationship Id="rId45" Type="http://schemas.openxmlformats.org/officeDocument/2006/relationships/hyperlink" Target="https://ezrx.com/" TargetMode="External"/><Relationship Id="rId53" Type="http://schemas.openxmlformats.org/officeDocument/2006/relationships/image" Target="media/image21.emf"/><Relationship Id="rId58" Type="http://schemas.openxmlformats.org/officeDocument/2006/relationships/footer" Target="footer1.xml"/><Relationship Id="rId5" Type="http://schemas.openxmlformats.org/officeDocument/2006/relationships/styles" Target="styles.xml"/><Relationship Id="rId61" Type="http://schemas.openxmlformats.org/officeDocument/2006/relationships/footer" Target="footer3.xml"/><Relationship Id="rId19" Type="http://schemas.openxmlformats.org/officeDocument/2006/relationships/image" Target="media/image6.emf"/><Relationship Id="rId14" Type="http://schemas.openxmlformats.org/officeDocument/2006/relationships/image" Target="media/image3.emf"/><Relationship Id="rId22" Type="http://schemas.openxmlformats.org/officeDocument/2006/relationships/image" Target="cid:32C76D28-EC91-4D81-93A7-474AE679EB41-L0-001" TargetMode="External"/><Relationship Id="rId27" Type="http://schemas.openxmlformats.org/officeDocument/2006/relationships/image" Target="media/image10.emf"/><Relationship Id="rId30" Type="http://schemas.openxmlformats.org/officeDocument/2006/relationships/oleObject" Target="embeddings/oleObject8.bin"/><Relationship Id="rId35" Type="http://schemas.openxmlformats.org/officeDocument/2006/relationships/hyperlink" Target="https://www.notarise.gov.sg" TargetMode="External"/><Relationship Id="rId43" Type="http://schemas.openxmlformats.org/officeDocument/2006/relationships/image" Target="media/image17.emf"/><Relationship Id="rId48" Type="http://schemas.openxmlformats.org/officeDocument/2006/relationships/image" Target="media/image19.emf"/><Relationship Id="rId56" Type="http://schemas.openxmlformats.org/officeDocument/2006/relationships/header" Target="header1.xml"/><Relationship Id="rId64" Type="http://schemas.openxmlformats.org/officeDocument/2006/relationships/customXml" Target="../customXml/item4.xml"/><Relationship Id="rId8" Type="http://schemas.openxmlformats.org/officeDocument/2006/relationships/footnotes" Target="footnotes.xml"/><Relationship Id="rId51" Type="http://schemas.openxmlformats.org/officeDocument/2006/relationships/package" Target="embeddings/Microsoft_Excel_Worksheet.xlsx"/><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oleObject" Target="embeddings/oleObject3.bin"/><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image" Target="media/image15.emf"/><Relationship Id="rId46" Type="http://schemas.openxmlformats.org/officeDocument/2006/relationships/image" Target="media/image18.emf"/><Relationship Id="rId59" Type="http://schemas.openxmlformats.org/officeDocument/2006/relationships/footer" Target="footer2.xml"/><Relationship Id="rId20" Type="http://schemas.openxmlformats.org/officeDocument/2006/relationships/oleObject" Target="embeddings/oleObject4.bin"/><Relationship Id="rId41" Type="http://schemas.openxmlformats.org/officeDocument/2006/relationships/package" Target="embeddings/Microsoft_PowerPoint_Presentation.pptx"/><Relationship Id="rId54" Type="http://schemas.openxmlformats.org/officeDocument/2006/relationships/oleObject" Target="embeddings/oleObject14.bin"/><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oleObject" Target="embeddings/oleObject2.bin"/><Relationship Id="rId23" Type="http://schemas.openxmlformats.org/officeDocument/2006/relationships/image" Target="media/image8.emf"/><Relationship Id="rId28" Type="http://schemas.openxmlformats.org/officeDocument/2006/relationships/oleObject" Target="embeddings/oleObject7.bin"/><Relationship Id="rId36" Type="http://schemas.openxmlformats.org/officeDocument/2006/relationships/image" Target="media/image14.emf"/><Relationship Id="rId49" Type="http://schemas.openxmlformats.org/officeDocument/2006/relationships/package" Target="embeddings/Microsoft_Word_Document2.docx"/><Relationship Id="rId57" Type="http://schemas.openxmlformats.org/officeDocument/2006/relationships/header" Target="header2.xml"/><Relationship Id="rId10" Type="http://schemas.openxmlformats.org/officeDocument/2006/relationships/image" Target="media/image1.emf"/><Relationship Id="rId31" Type="http://schemas.openxmlformats.org/officeDocument/2006/relationships/image" Target="media/image12.emf"/><Relationship Id="rId44" Type="http://schemas.openxmlformats.org/officeDocument/2006/relationships/oleObject" Target="embeddings/oleObject13.bin"/><Relationship Id="rId52" Type="http://schemas.openxmlformats.org/officeDocument/2006/relationships/hyperlink" Target="https://www.nir.hpb.gov.sg/nird/ens/enslogin" TargetMode="External"/><Relationship Id="rId60" Type="http://schemas.openxmlformats.org/officeDocument/2006/relationships/header" Target="header3.xml"/><Relationship Id="rId4" Type="http://schemas.openxmlformats.org/officeDocument/2006/relationships/numbering" Target="numbering.xml"/><Relationship Id="rId9"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DFBB09B221C5A4EA7B90D02608B6694" ma:contentTypeVersion="1" ma:contentTypeDescription="Create a new document." ma:contentTypeScope="" ma:versionID="e39eab2f7a5dbb2a8a94e80526f953cf">
  <xsd:schema xmlns:xsd="http://www.w3.org/2001/XMLSchema" xmlns:xs="http://www.w3.org/2001/XMLSchema" xmlns:p="http://schemas.microsoft.com/office/2006/metadata/properties" xmlns:ns1="http://schemas.microsoft.com/sharepoint/v3" targetNamespace="http://schemas.microsoft.com/office/2006/metadata/properties" ma:root="true" ma:fieldsID="ff01fac345008aa34b3a53f2166bf3c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03E12D5C-27D1-432F-8DE4-2F7EBFA2AA72}">
  <ds:schemaRefs>
    <ds:schemaRef ds:uri="http://schemas.openxmlformats.org/officeDocument/2006/bibliography"/>
  </ds:schemaRefs>
</ds:datastoreItem>
</file>

<file path=customXml/itemProps2.xml><?xml version="1.0" encoding="utf-8"?>
<ds:datastoreItem xmlns:ds="http://schemas.openxmlformats.org/officeDocument/2006/customXml" ds:itemID="{F3B33D8E-BE34-4062-948B-9701C747040D}">
  <ds:schemaRefs>
    <ds:schemaRef ds:uri="http://schemas.microsoft.com/sharepoint/v3/contenttype/forms"/>
  </ds:schemaRefs>
</ds:datastoreItem>
</file>

<file path=customXml/itemProps3.xml><?xml version="1.0" encoding="utf-8"?>
<ds:datastoreItem xmlns:ds="http://schemas.openxmlformats.org/officeDocument/2006/customXml" ds:itemID="{BB9C7F3E-010A-446E-B80B-3D63DB6F6156}"/>
</file>

<file path=customXml/itemProps4.xml><?xml version="1.0" encoding="utf-8"?>
<ds:datastoreItem xmlns:ds="http://schemas.openxmlformats.org/officeDocument/2006/customXml" ds:itemID="{E090FF4C-CA3C-4DF4-A052-B926312BE9B2}"/>
</file>

<file path=docProps/app.xml><?xml version="1.0" encoding="utf-8"?>
<Properties xmlns="http://schemas.openxmlformats.org/officeDocument/2006/extended-properties" xmlns:vt="http://schemas.openxmlformats.org/officeDocument/2006/docPropsVTypes">
  <Template>Normal.dotm</Template>
  <TotalTime>0</TotalTime>
  <Pages>1</Pages>
  <Words>4344</Words>
  <Characters>24767</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Syafiq ZULKEPLI (MOH)</dc:creator>
  <cp:keywords/>
  <dc:description/>
  <cp:lastModifiedBy>Emma Seow Wen Qing (AIC)</cp:lastModifiedBy>
  <cp:revision>1</cp:revision>
  <cp:lastPrinted>2020-12-28T06:06:00Z</cp:lastPrinted>
  <dcterms:created xsi:type="dcterms:W3CDTF">2024-07-25T13:02:00Z</dcterms:created>
  <dcterms:modified xsi:type="dcterms:W3CDTF">2024-07-25T13:02:00Z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0x0101002DFBB09B221C5A4EA7B90D02608B6694</vt:lpwstr>
  </property>
  <property fmtid="{D5CDD505-2E9C-101B-9397-08002B2CF9AE}" pid="3" name="MSIP_Label_4f288355-fb4c-44cd-b9ca-40cfc2aee5f8_Enabled">
    <vt:lpwstr>true</vt:lpwstr>
  </property>
  <property fmtid="{D5CDD505-2E9C-101B-9397-08002B2CF9AE}" pid="4" name="MSIP_Label_4f288355-fb4c-44cd-b9ca-40cfc2aee5f8_SetDate">
    <vt:lpwstr>2022-09-28T08:10:38Z</vt:lpwstr>
  </property>
  <property fmtid="{D5CDD505-2E9C-101B-9397-08002B2CF9AE}" pid="5" name="MSIP_Label_4f288355-fb4c-44cd-b9ca-40cfc2aee5f8_Method">
    <vt:lpwstr>Standard</vt:lpwstr>
  </property>
  <property fmtid="{D5CDD505-2E9C-101B-9397-08002B2CF9AE}" pid="6" name="MSIP_Label_4f288355-fb4c-44cd-b9ca-40cfc2aee5f8_Name">
    <vt:lpwstr>Non Sensitive_1</vt:lpwstr>
  </property>
  <property fmtid="{D5CDD505-2E9C-101B-9397-08002B2CF9AE}" pid="7" name="MSIP_Label_4f288355-fb4c-44cd-b9ca-40cfc2aee5f8_SiteId">
    <vt:lpwstr>0b11c524-9a1c-4e1b-84cb-6336aefc2243</vt:lpwstr>
  </property>
  <property fmtid="{D5CDD505-2E9C-101B-9397-08002B2CF9AE}" pid="8" name="MSIP_Label_4f288355-fb4c-44cd-b9ca-40cfc2aee5f8_ActionId">
    <vt:lpwstr>36f81282-875a-497e-95ee-d28dc29a8c6e</vt:lpwstr>
  </property>
  <property fmtid="{D5CDD505-2E9C-101B-9397-08002B2CF9AE}" pid="9" name="MSIP_Label_4f288355-fb4c-44cd-b9ca-40cfc2aee5f8_ContentBits">
    <vt:lpwstr>0</vt:lpwstr>
  </property>
  <property fmtid="{D5CDD505-2E9C-101B-9397-08002B2CF9AE}" pid="10" name="PublishingExpirationDate">
    <vt:lpwstr/>
  </property>
  <property fmtid="{D5CDD505-2E9C-101B-9397-08002B2CF9AE}" pid="11" name="PublishingStartDate">
    <vt:lpwstr/>
  </property>
</Properties>
</file>